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CAF97" w14:textId="77777777" w:rsidR="007B3F60" w:rsidRDefault="007B3F60" w:rsidP="007B3F60">
      <w:bookmarkStart w:id="0" w:name="_GoBack"/>
      <w:bookmarkEnd w:id="0"/>
    </w:p>
    <w:tbl>
      <w:tblPr>
        <w:tblW w:w="5000" w:type="pct"/>
        <w:tblCellMar>
          <w:left w:w="0" w:type="dxa"/>
          <w:right w:w="0" w:type="dxa"/>
        </w:tblCellMar>
        <w:tblLook w:val="04A0" w:firstRow="1" w:lastRow="0" w:firstColumn="1" w:lastColumn="0" w:noHBand="0" w:noVBand="1"/>
      </w:tblPr>
      <w:tblGrid>
        <w:gridCol w:w="2100"/>
        <w:gridCol w:w="6906"/>
      </w:tblGrid>
      <w:tr w:rsidR="007B3F60" w14:paraId="5E17D13A" w14:textId="77777777" w:rsidTr="007B3F60">
        <w:tc>
          <w:tcPr>
            <w:tcW w:w="2100" w:type="dxa"/>
            <w:tcBorders>
              <w:top w:val="single" w:sz="8" w:space="0" w:color="808080"/>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4CB90F58" w14:textId="77777777" w:rsidR="007B3F60" w:rsidRDefault="007B3F60">
            <w:r>
              <w:rPr>
                <w:rFonts w:ascii="Arial" w:hAnsi="Arial" w:cs="Arial"/>
                <w:sz w:val="18"/>
                <w:szCs w:val="18"/>
              </w:rPr>
              <w:t>Abstract ID</w:t>
            </w:r>
          </w:p>
        </w:tc>
        <w:tc>
          <w:tcPr>
            <w:tcW w:w="0" w:type="auto"/>
            <w:tcBorders>
              <w:top w:val="single" w:sz="8" w:space="0" w:color="808080"/>
              <w:left w:val="nil"/>
              <w:bottom w:val="single" w:sz="8" w:space="0" w:color="808080"/>
              <w:right w:val="single" w:sz="8" w:space="0" w:color="808080"/>
            </w:tcBorders>
            <w:shd w:val="clear" w:color="auto" w:fill="FFFFFF"/>
            <w:tcMar>
              <w:top w:w="60" w:type="dxa"/>
              <w:left w:w="60" w:type="dxa"/>
              <w:bottom w:w="60" w:type="dxa"/>
              <w:right w:w="60" w:type="dxa"/>
            </w:tcMar>
            <w:hideMark/>
          </w:tcPr>
          <w:p w14:paraId="728E747D" w14:textId="77777777" w:rsidR="007B3F60" w:rsidRDefault="007B3F60">
            <w:r>
              <w:rPr>
                <w:rFonts w:ascii="Arial" w:hAnsi="Arial" w:cs="Arial"/>
                <w:sz w:val="18"/>
                <w:szCs w:val="18"/>
              </w:rPr>
              <w:t>013071</w:t>
            </w:r>
          </w:p>
        </w:tc>
      </w:tr>
      <w:tr w:rsidR="007B3F60" w14:paraId="72C884A0"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52C2749D" w14:textId="77777777" w:rsidR="007B3F60" w:rsidRDefault="007B3F60">
            <w:r>
              <w:rPr>
                <w:rFonts w:ascii="Arial" w:hAnsi="Arial" w:cs="Arial"/>
                <w:sz w:val="18"/>
                <w:szCs w:val="18"/>
              </w:rPr>
              <w:t>Abstract Title</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09007D03" w14:textId="77777777" w:rsidR="007B3F60" w:rsidRDefault="007B3F60">
            <w:r>
              <w:rPr>
                <w:rFonts w:ascii="Arial" w:hAnsi="Arial" w:cs="Arial"/>
                <w:sz w:val="18"/>
                <w:szCs w:val="18"/>
              </w:rPr>
              <w:t xml:space="preserve">Assessing Physical Literacy: Deciding what method to use </w:t>
            </w:r>
          </w:p>
        </w:tc>
      </w:tr>
      <w:tr w:rsidR="007B3F60" w14:paraId="05B331E9"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1194D23B" w14:textId="77777777" w:rsidR="007B3F60" w:rsidRDefault="007B3F60">
            <w:r>
              <w:rPr>
                <w:rFonts w:ascii="Arial" w:hAnsi="Arial" w:cs="Arial"/>
                <w:sz w:val="18"/>
                <w:szCs w:val="18"/>
              </w:rPr>
              <w:t>Author List</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1551EEB0" w14:textId="77777777" w:rsidR="007B3F60" w:rsidRDefault="007B3F60">
            <w:r>
              <w:rPr>
                <w:rStyle w:val="Strong"/>
                <w:rFonts w:ascii="Arial" w:hAnsi="Arial" w:cs="Arial"/>
                <w:sz w:val="18"/>
                <w:szCs w:val="18"/>
              </w:rPr>
              <w:t>Associate Professor L Barnett</w:t>
            </w:r>
            <w:r>
              <w:rPr>
                <w:rFonts w:ascii="Arial" w:hAnsi="Arial" w:cs="Arial"/>
                <w:sz w:val="18"/>
                <w:szCs w:val="18"/>
                <w:vertAlign w:val="superscript"/>
              </w:rPr>
              <w:t>1</w:t>
            </w:r>
            <w:r>
              <w:rPr>
                <w:rFonts w:ascii="Arial" w:hAnsi="Arial" w:cs="Arial"/>
                <w:sz w:val="18"/>
                <w:szCs w:val="18"/>
              </w:rPr>
              <w:t xml:space="preserve"> (</w:t>
            </w:r>
            <w:hyperlink r:id="rId4" w:history="1">
              <w:r>
                <w:rPr>
                  <w:rStyle w:val="Hyperlink"/>
                  <w:rFonts w:ascii="Arial" w:hAnsi="Arial" w:cs="Arial"/>
                  <w:sz w:val="18"/>
                  <w:szCs w:val="18"/>
                </w:rPr>
                <w:t>lisa.barnett@deakin.edu.au</w:t>
              </w:r>
            </w:hyperlink>
            <w:proofErr w:type="gramStart"/>
            <w:r>
              <w:rPr>
                <w:rFonts w:ascii="Arial" w:hAnsi="Arial" w:cs="Arial"/>
                <w:sz w:val="18"/>
                <w:szCs w:val="18"/>
              </w:rPr>
              <w:t>)</w:t>
            </w:r>
            <w:proofErr w:type="gramEnd"/>
            <w:r>
              <w:rPr>
                <w:rFonts w:ascii="Arial" w:hAnsi="Arial" w:cs="Arial"/>
                <w:sz w:val="18"/>
                <w:szCs w:val="18"/>
              </w:rPr>
              <w:br/>
            </w:r>
            <w:proofErr w:type="spellStart"/>
            <w:r>
              <w:rPr>
                <w:rFonts w:ascii="Arial" w:hAnsi="Arial" w:cs="Arial"/>
                <w:sz w:val="18"/>
                <w:szCs w:val="18"/>
              </w:rPr>
              <w:t>Dr.</w:t>
            </w:r>
            <w:proofErr w:type="spellEnd"/>
            <w:r>
              <w:rPr>
                <w:rFonts w:ascii="Arial" w:hAnsi="Arial" w:cs="Arial"/>
                <w:sz w:val="18"/>
                <w:szCs w:val="18"/>
              </w:rPr>
              <w:t xml:space="preserve"> D Dudley</w:t>
            </w:r>
            <w:r>
              <w:rPr>
                <w:rFonts w:ascii="Arial" w:hAnsi="Arial" w:cs="Arial"/>
                <w:sz w:val="18"/>
                <w:szCs w:val="18"/>
                <w:vertAlign w:val="superscript"/>
              </w:rPr>
              <w:t>2</w:t>
            </w:r>
            <w:r>
              <w:rPr>
                <w:rFonts w:ascii="Arial" w:hAnsi="Arial" w:cs="Arial"/>
                <w:sz w:val="18"/>
                <w:szCs w:val="18"/>
              </w:rPr>
              <w:t xml:space="preserve"> (</w:t>
            </w:r>
            <w:hyperlink r:id="rId5" w:history="1">
              <w:r>
                <w:rPr>
                  <w:rStyle w:val="Hyperlink"/>
                  <w:rFonts w:ascii="Arial" w:hAnsi="Arial" w:cs="Arial"/>
                  <w:sz w:val="18"/>
                  <w:szCs w:val="18"/>
                </w:rPr>
                <w:t>dean.dudley@mq.edu.au</w:t>
              </w:r>
            </w:hyperlink>
            <w:r>
              <w:rPr>
                <w:rFonts w:ascii="Arial" w:hAnsi="Arial" w:cs="Arial"/>
                <w:sz w:val="18"/>
                <w:szCs w:val="18"/>
              </w:rPr>
              <w:t>)</w:t>
            </w:r>
            <w:r>
              <w:rPr>
                <w:rFonts w:ascii="Arial" w:hAnsi="Arial" w:cs="Arial"/>
                <w:sz w:val="18"/>
                <w:szCs w:val="18"/>
              </w:rPr>
              <w:br/>
            </w:r>
            <w:proofErr w:type="spellStart"/>
            <w:r>
              <w:rPr>
                <w:rFonts w:ascii="Arial" w:hAnsi="Arial" w:cs="Arial"/>
                <w:sz w:val="18"/>
                <w:szCs w:val="18"/>
              </w:rPr>
              <w:t>Prof.</w:t>
            </w:r>
            <w:proofErr w:type="spellEnd"/>
            <w:r>
              <w:rPr>
                <w:rFonts w:ascii="Arial" w:hAnsi="Arial" w:cs="Arial"/>
                <w:sz w:val="18"/>
                <w:szCs w:val="18"/>
              </w:rPr>
              <w:t xml:space="preserve"> R Telford</w:t>
            </w:r>
            <w:r>
              <w:rPr>
                <w:rFonts w:ascii="Arial" w:hAnsi="Arial" w:cs="Arial"/>
                <w:sz w:val="18"/>
                <w:szCs w:val="18"/>
                <w:vertAlign w:val="superscript"/>
              </w:rPr>
              <w:t>3</w:t>
            </w:r>
            <w:r>
              <w:rPr>
                <w:rFonts w:ascii="Arial" w:hAnsi="Arial" w:cs="Arial"/>
                <w:sz w:val="18"/>
                <w:szCs w:val="18"/>
              </w:rPr>
              <w:t xml:space="preserve"> (</w:t>
            </w:r>
            <w:hyperlink r:id="rId6" w:history="1">
              <w:r>
                <w:rPr>
                  <w:rStyle w:val="Hyperlink"/>
                  <w:rFonts w:ascii="Arial" w:hAnsi="Arial" w:cs="Arial"/>
                  <w:sz w:val="18"/>
                  <w:szCs w:val="18"/>
                </w:rPr>
                <w:t>Richard.Keegan@Canberra.edu.au</w:t>
              </w:r>
            </w:hyperlink>
            <w:r>
              <w:rPr>
                <w:rFonts w:ascii="Arial" w:hAnsi="Arial" w:cs="Arial"/>
                <w:sz w:val="18"/>
                <w:szCs w:val="18"/>
              </w:rPr>
              <w:t>)</w:t>
            </w:r>
            <w:r>
              <w:rPr>
                <w:rFonts w:ascii="Arial" w:hAnsi="Arial" w:cs="Arial"/>
                <w:sz w:val="18"/>
                <w:szCs w:val="18"/>
              </w:rPr>
              <w:br/>
            </w:r>
            <w:proofErr w:type="spellStart"/>
            <w:r>
              <w:rPr>
                <w:rFonts w:ascii="Arial" w:hAnsi="Arial" w:cs="Arial"/>
                <w:sz w:val="18"/>
                <w:szCs w:val="18"/>
              </w:rPr>
              <w:t>Prof.</w:t>
            </w:r>
            <w:proofErr w:type="spellEnd"/>
            <w:r>
              <w:rPr>
                <w:rFonts w:ascii="Arial" w:hAnsi="Arial" w:cs="Arial"/>
                <w:sz w:val="18"/>
                <w:szCs w:val="18"/>
              </w:rPr>
              <w:t xml:space="preserve"> D Lubans</w:t>
            </w:r>
            <w:r>
              <w:rPr>
                <w:rFonts w:ascii="Arial" w:hAnsi="Arial" w:cs="Arial"/>
                <w:sz w:val="18"/>
                <w:szCs w:val="18"/>
                <w:vertAlign w:val="superscript"/>
              </w:rPr>
              <w:t>4</w:t>
            </w:r>
            <w:r>
              <w:rPr>
                <w:rFonts w:ascii="Arial" w:hAnsi="Arial" w:cs="Arial"/>
                <w:sz w:val="18"/>
                <w:szCs w:val="18"/>
              </w:rPr>
              <w:br/>
            </w:r>
            <w:proofErr w:type="spellStart"/>
            <w:r>
              <w:rPr>
                <w:rFonts w:ascii="Arial" w:hAnsi="Arial" w:cs="Arial"/>
                <w:sz w:val="18"/>
                <w:szCs w:val="18"/>
              </w:rPr>
              <w:t>Dr.</w:t>
            </w:r>
            <w:proofErr w:type="spellEnd"/>
            <w:r>
              <w:rPr>
                <w:rFonts w:ascii="Arial" w:hAnsi="Arial" w:cs="Arial"/>
                <w:sz w:val="18"/>
                <w:szCs w:val="18"/>
              </w:rPr>
              <w:t xml:space="preserve"> A Bryant</w:t>
            </w:r>
            <w:r>
              <w:rPr>
                <w:rFonts w:ascii="Arial" w:hAnsi="Arial" w:cs="Arial"/>
                <w:sz w:val="18"/>
                <w:szCs w:val="18"/>
                <w:vertAlign w:val="superscript"/>
              </w:rPr>
              <w:t>5</w:t>
            </w:r>
            <w:r>
              <w:rPr>
                <w:rFonts w:ascii="Arial" w:hAnsi="Arial" w:cs="Arial"/>
                <w:sz w:val="18"/>
                <w:szCs w:val="18"/>
              </w:rPr>
              <w:br/>
              <w:t>Mr. W Roberts</w:t>
            </w:r>
            <w:r>
              <w:rPr>
                <w:rFonts w:ascii="Arial" w:hAnsi="Arial" w:cs="Arial"/>
                <w:sz w:val="18"/>
                <w:szCs w:val="18"/>
                <w:vertAlign w:val="superscript"/>
              </w:rPr>
              <w:t>6</w:t>
            </w:r>
            <w:r>
              <w:rPr>
                <w:rFonts w:ascii="Arial" w:hAnsi="Arial" w:cs="Arial"/>
                <w:sz w:val="18"/>
                <w:szCs w:val="18"/>
              </w:rPr>
              <w:br/>
            </w:r>
            <w:proofErr w:type="spellStart"/>
            <w:r>
              <w:rPr>
                <w:rFonts w:ascii="Arial" w:hAnsi="Arial" w:cs="Arial"/>
                <w:sz w:val="18"/>
                <w:szCs w:val="18"/>
              </w:rPr>
              <w:t>Prof.</w:t>
            </w:r>
            <w:proofErr w:type="spellEnd"/>
            <w:r>
              <w:rPr>
                <w:rFonts w:ascii="Arial" w:hAnsi="Arial" w:cs="Arial"/>
                <w:sz w:val="18"/>
                <w:szCs w:val="18"/>
              </w:rPr>
              <w:t xml:space="preserve"> P Morgan</w:t>
            </w:r>
            <w:r>
              <w:rPr>
                <w:rFonts w:ascii="Arial" w:hAnsi="Arial" w:cs="Arial"/>
                <w:sz w:val="18"/>
                <w:szCs w:val="18"/>
                <w:vertAlign w:val="superscript"/>
              </w:rPr>
              <w:t>7</w:t>
            </w:r>
            <w:r>
              <w:rPr>
                <w:rFonts w:ascii="Arial" w:hAnsi="Arial" w:cs="Arial"/>
                <w:sz w:val="18"/>
                <w:szCs w:val="18"/>
              </w:rPr>
              <w:br/>
            </w:r>
            <w:proofErr w:type="spellStart"/>
            <w:r>
              <w:rPr>
                <w:rFonts w:ascii="Arial" w:hAnsi="Arial" w:cs="Arial"/>
                <w:sz w:val="18"/>
                <w:szCs w:val="18"/>
              </w:rPr>
              <w:t>Dr.</w:t>
            </w:r>
            <w:proofErr w:type="spellEnd"/>
            <w:r>
              <w:rPr>
                <w:rFonts w:ascii="Arial" w:hAnsi="Arial" w:cs="Arial"/>
                <w:sz w:val="18"/>
                <w:szCs w:val="18"/>
              </w:rPr>
              <w:t xml:space="preserve"> N Schranz</w:t>
            </w:r>
            <w:r>
              <w:rPr>
                <w:rFonts w:ascii="Arial" w:hAnsi="Arial" w:cs="Arial"/>
                <w:sz w:val="18"/>
                <w:szCs w:val="18"/>
                <w:vertAlign w:val="superscript"/>
              </w:rPr>
              <w:t>8</w:t>
            </w:r>
            <w:r>
              <w:rPr>
                <w:rFonts w:ascii="Arial" w:hAnsi="Arial" w:cs="Arial"/>
                <w:sz w:val="18"/>
                <w:szCs w:val="18"/>
              </w:rPr>
              <w:br/>
            </w:r>
            <w:proofErr w:type="spellStart"/>
            <w:r>
              <w:rPr>
                <w:rFonts w:ascii="Arial" w:hAnsi="Arial" w:cs="Arial"/>
                <w:sz w:val="18"/>
                <w:szCs w:val="18"/>
              </w:rPr>
              <w:t>Dr.</w:t>
            </w:r>
            <w:proofErr w:type="spellEnd"/>
            <w:r>
              <w:rPr>
                <w:rFonts w:ascii="Arial" w:hAnsi="Arial" w:cs="Arial"/>
                <w:sz w:val="18"/>
                <w:szCs w:val="18"/>
              </w:rPr>
              <w:t xml:space="preserve"> J Weissensteine</w:t>
            </w:r>
            <w:r>
              <w:rPr>
                <w:rFonts w:ascii="Arial" w:hAnsi="Arial" w:cs="Arial"/>
                <w:sz w:val="18"/>
                <w:szCs w:val="18"/>
                <w:vertAlign w:val="superscript"/>
              </w:rPr>
              <w:t>9</w:t>
            </w:r>
            <w:r>
              <w:rPr>
                <w:rFonts w:ascii="Arial" w:hAnsi="Arial" w:cs="Arial"/>
                <w:sz w:val="18"/>
                <w:szCs w:val="18"/>
              </w:rPr>
              <w:br/>
            </w:r>
            <w:proofErr w:type="spellStart"/>
            <w:r>
              <w:rPr>
                <w:rFonts w:ascii="Arial" w:hAnsi="Arial" w:cs="Arial"/>
                <w:sz w:val="18"/>
                <w:szCs w:val="18"/>
              </w:rPr>
              <w:t>Dr.</w:t>
            </w:r>
            <w:proofErr w:type="spellEnd"/>
            <w:r>
              <w:rPr>
                <w:rFonts w:ascii="Arial" w:hAnsi="Arial" w:cs="Arial"/>
                <w:sz w:val="18"/>
                <w:szCs w:val="18"/>
              </w:rPr>
              <w:t xml:space="preserve"> S Vella</w:t>
            </w:r>
            <w:r>
              <w:rPr>
                <w:rFonts w:ascii="Arial" w:hAnsi="Arial" w:cs="Arial"/>
                <w:sz w:val="18"/>
                <w:szCs w:val="18"/>
                <w:vertAlign w:val="superscript"/>
              </w:rPr>
              <w:t>10</w:t>
            </w:r>
            <w:r>
              <w:rPr>
                <w:rFonts w:ascii="Arial" w:hAnsi="Arial" w:cs="Arial"/>
                <w:sz w:val="18"/>
                <w:szCs w:val="18"/>
              </w:rPr>
              <w:br/>
            </w:r>
            <w:proofErr w:type="spellStart"/>
            <w:r>
              <w:rPr>
                <w:rFonts w:ascii="Arial" w:hAnsi="Arial" w:cs="Arial"/>
                <w:sz w:val="18"/>
                <w:szCs w:val="18"/>
              </w:rPr>
              <w:t>Prof.</w:t>
            </w:r>
            <w:proofErr w:type="spellEnd"/>
            <w:r>
              <w:rPr>
                <w:rFonts w:ascii="Arial" w:hAnsi="Arial" w:cs="Arial"/>
                <w:sz w:val="18"/>
                <w:szCs w:val="18"/>
              </w:rPr>
              <w:t xml:space="preserve"> J Salmon</w:t>
            </w:r>
            <w:r>
              <w:rPr>
                <w:rFonts w:ascii="Arial" w:hAnsi="Arial" w:cs="Arial"/>
                <w:sz w:val="18"/>
                <w:szCs w:val="18"/>
                <w:vertAlign w:val="superscript"/>
              </w:rPr>
              <w:t>11</w:t>
            </w:r>
            <w:r>
              <w:rPr>
                <w:rFonts w:ascii="Arial" w:hAnsi="Arial" w:cs="Arial"/>
                <w:sz w:val="18"/>
                <w:szCs w:val="18"/>
              </w:rPr>
              <w:br/>
            </w:r>
            <w:proofErr w:type="spellStart"/>
            <w:r>
              <w:rPr>
                <w:rFonts w:ascii="Arial" w:hAnsi="Arial" w:cs="Arial"/>
                <w:sz w:val="18"/>
                <w:szCs w:val="18"/>
              </w:rPr>
              <w:t>Prof.</w:t>
            </w:r>
            <w:proofErr w:type="spellEnd"/>
            <w:r>
              <w:rPr>
                <w:rFonts w:ascii="Arial" w:hAnsi="Arial" w:cs="Arial"/>
                <w:sz w:val="18"/>
                <w:szCs w:val="18"/>
              </w:rPr>
              <w:t xml:space="preserve"> J Ziviani</w:t>
            </w:r>
            <w:r>
              <w:rPr>
                <w:rFonts w:ascii="Arial" w:hAnsi="Arial" w:cs="Arial"/>
                <w:sz w:val="18"/>
                <w:szCs w:val="18"/>
                <w:vertAlign w:val="superscript"/>
              </w:rPr>
              <w:t>12</w:t>
            </w:r>
            <w:r>
              <w:rPr>
                <w:rFonts w:ascii="Arial" w:hAnsi="Arial" w:cs="Arial"/>
                <w:sz w:val="18"/>
                <w:szCs w:val="18"/>
              </w:rPr>
              <w:br/>
            </w:r>
            <w:proofErr w:type="spellStart"/>
            <w:r>
              <w:rPr>
                <w:rFonts w:ascii="Arial" w:hAnsi="Arial" w:cs="Arial"/>
                <w:sz w:val="18"/>
                <w:szCs w:val="18"/>
              </w:rPr>
              <w:t>Prof.</w:t>
            </w:r>
            <w:proofErr w:type="spellEnd"/>
            <w:r>
              <w:rPr>
                <w:rFonts w:ascii="Arial" w:hAnsi="Arial" w:cs="Arial"/>
                <w:sz w:val="18"/>
                <w:szCs w:val="18"/>
              </w:rPr>
              <w:t xml:space="preserve"> A Okely</w:t>
            </w:r>
            <w:r>
              <w:rPr>
                <w:rFonts w:ascii="Arial" w:hAnsi="Arial" w:cs="Arial"/>
                <w:sz w:val="18"/>
                <w:szCs w:val="18"/>
                <w:vertAlign w:val="superscript"/>
              </w:rPr>
              <w:t>10</w:t>
            </w:r>
            <w:r>
              <w:rPr>
                <w:rFonts w:ascii="Arial" w:hAnsi="Arial" w:cs="Arial"/>
                <w:sz w:val="18"/>
                <w:szCs w:val="18"/>
              </w:rPr>
              <w:br/>
            </w:r>
            <w:proofErr w:type="spellStart"/>
            <w:r>
              <w:rPr>
                <w:rFonts w:ascii="Arial" w:hAnsi="Arial" w:cs="Arial"/>
                <w:sz w:val="18"/>
                <w:szCs w:val="18"/>
              </w:rPr>
              <w:t>Dr.</w:t>
            </w:r>
            <w:proofErr w:type="spellEnd"/>
            <w:r>
              <w:rPr>
                <w:rFonts w:ascii="Arial" w:hAnsi="Arial" w:cs="Arial"/>
                <w:sz w:val="18"/>
                <w:szCs w:val="18"/>
              </w:rPr>
              <w:t xml:space="preserve"> N Wainwright</w:t>
            </w:r>
            <w:r>
              <w:rPr>
                <w:rFonts w:ascii="Arial" w:hAnsi="Arial" w:cs="Arial"/>
                <w:sz w:val="18"/>
                <w:szCs w:val="18"/>
                <w:vertAlign w:val="superscript"/>
              </w:rPr>
              <w:t>13</w:t>
            </w:r>
            <w:r>
              <w:rPr>
                <w:rFonts w:ascii="Arial" w:hAnsi="Arial" w:cs="Arial"/>
                <w:sz w:val="18"/>
                <w:szCs w:val="18"/>
              </w:rPr>
              <w:br/>
            </w:r>
            <w:proofErr w:type="spellStart"/>
            <w:r>
              <w:rPr>
                <w:rFonts w:ascii="Arial" w:hAnsi="Arial" w:cs="Arial"/>
                <w:sz w:val="18"/>
                <w:szCs w:val="18"/>
              </w:rPr>
              <w:t>Prof.</w:t>
            </w:r>
            <w:proofErr w:type="spellEnd"/>
            <w:r>
              <w:rPr>
                <w:rFonts w:ascii="Arial" w:hAnsi="Arial" w:cs="Arial"/>
                <w:sz w:val="18"/>
                <w:szCs w:val="18"/>
              </w:rPr>
              <w:t xml:space="preserve"> J Evans</w:t>
            </w:r>
            <w:r>
              <w:rPr>
                <w:rFonts w:ascii="Arial" w:hAnsi="Arial" w:cs="Arial"/>
                <w:sz w:val="18"/>
                <w:szCs w:val="18"/>
                <w:vertAlign w:val="superscript"/>
              </w:rPr>
              <w:t>14</w:t>
            </w:r>
            <w:r>
              <w:rPr>
                <w:rFonts w:ascii="Arial" w:hAnsi="Arial" w:cs="Arial"/>
                <w:sz w:val="18"/>
                <w:szCs w:val="18"/>
              </w:rPr>
              <w:br/>
            </w:r>
            <w:proofErr w:type="spellStart"/>
            <w:r>
              <w:rPr>
                <w:rFonts w:ascii="Arial" w:hAnsi="Arial" w:cs="Arial"/>
                <w:sz w:val="18"/>
                <w:szCs w:val="18"/>
              </w:rPr>
              <w:t>Dr.</w:t>
            </w:r>
            <w:proofErr w:type="spellEnd"/>
            <w:r>
              <w:rPr>
                <w:rFonts w:ascii="Arial" w:hAnsi="Arial" w:cs="Arial"/>
                <w:sz w:val="18"/>
                <w:szCs w:val="18"/>
              </w:rPr>
              <w:t xml:space="preserve"> R Keegan</w:t>
            </w:r>
            <w:r>
              <w:rPr>
                <w:rFonts w:ascii="Arial" w:hAnsi="Arial" w:cs="Arial"/>
                <w:sz w:val="18"/>
                <w:szCs w:val="18"/>
                <w:vertAlign w:val="superscript"/>
              </w:rPr>
              <w:t>3</w:t>
            </w:r>
          </w:p>
          <w:p w14:paraId="033E93D5" w14:textId="77777777" w:rsidR="007B3F60" w:rsidRDefault="007B3F60">
            <w:pPr>
              <w:jc w:val="center"/>
              <w:rPr>
                <w:rFonts w:ascii="Arial" w:eastAsia="Times New Roman" w:hAnsi="Arial" w:cs="Arial"/>
                <w:sz w:val="18"/>
                <w:szCs w:val="18"/>
              </w:rPr>
            </w:pPr>
            <w:r>
              <w:rPr>
                <w:rFonts w:ascii="Arial" w:eastAsia="Times New Roman" w:hAnsi="Arial" w:cs="Arial"/>
                <w:sz w:val="18"/>
                <w:szCs w:val="18"/>
              </w:rPr>
              <w:pict w14:anchorId="7E640066">
                <v:rect id="_x0000_i1025" style="width:451.3pt;height:.75pt" o:hralign="center" o:hrstd="t" o:hrnoshade="t" o:hr="t" fillcolor="#eee" stroked="f"/>
              </w:pict>
            </w:r>
          </w:p>
          <w:p w14:paraId="12BA0735" w14:textId="77777777" w:rsidR="007B3F60" w:rsidRDefault="007B3F60">
            <w:r>
              <w:rPr>
                <w:rStyle w:val="Emphasis"/>
                <w:rFonts w:ascii="Arial" w:hAnsi="Arial" w:cs="Arial"/>
                <w:sz w:val="15"/>
                <w:szCs w:val="15"/>
              </w:rPr>
              <w:t>1) Deakin University, Melbourne, Australia.</w:t>
            </w:r>
            <w:r>
              <w:rPr>
                <w:rFonts w:ascii="Arial" w:hAnsi="Arial" w:cs="Arial"/>
                <w:i/>
                <w:iCs/>
                <w:sz w:val="15"/>
                <w:szCs w:val="15"/>
              </w:rPr>
              <w:br/>
            </w:r>
            <w:r>
              <w:rPr>
                <w:rStyle w:val="Emphasis"/>
                <w:rFonts w:ascii="Arial" w:hAnsi="Arial" w:cs="Arial"/>
                <w:sz w:val="15"/>
                <w:szCs w:val="15"/>
              </w:rPr>
              <w:t xml:space="preserve">2) Macquarie </w:t>
            </w:r>
            <w:r>
              <w:rPr>
                <w:rStyle w:val="Emphasis"/>
                <w:rFonts w:ascii="Arial" w:hAnsi="Arial" w:cs="Arial"/>
                <w:sz w:val="15"/>
                <w:szCs w:val="15"/>
              </w:rPr>
              <w:t>University,</w:t>
            </w:r>
            <w:r>
              <w:rPr>
                <w:rStyle w:val="Emphasis"/>
                <w:rFonts w:ascii="Arial" w:hAnsi="Arial" w:cs="Arial"/>
                <w:sz w:val="15"/>
                <w:szCs w:val="15"/>
              </w:rPr>
              <w:t xml:space="preserve"> Sydney, Australia.</w:t>
            </w:r>
            <w:r>
              <w:rPr>
                <w:rFonts w:ascii="Arial" w:hAnsi="Arial" w:cs="Arial"/>
                <w:i/>
                <w:iCs/>
                <w:sz w:val="15"/>
                <w:szCs w:val="15"/>
              </w:rPr>
              <w:br/>
            </w:r>
            <w:r>
              <w:rPr>
                <w:rStyle w:val="Emphasis"/>
                <w:rFonts w:ascii="Arial" w:hAnsi="Arial" w:cs="Arial"/>
                <w:sz w:val="15"/>
                <w:szCs w:val="15"/>
              </w:rPr>
              <w:t>3) University of Canberra, Bruce, Australia.</w:t>
            </w:r>
            <w:r>
              <w:rPr>
                <w:rFonts w:ascii="Arial" w:hAnsi="Arial" w:cs="Arial"/>
                <w:i/>
                <w:iCs/>
                <w:sz w:val="15"/>
                <w:szCs w:val="15"/>
              </w:rPr>
              <w:br/>
            </w:r>
            <w:r>
              <w:rPr>
                <w:rStyle w:val="Emphasis"/>
                <w:rFonts w:ascii="Arial" w:hAnsi="Arial" w:cs="Arial"/>
                <w:sz w:val="15"/>
                <w:szCs w:val="15"/>
              </w:rPr>
              <w:t>4) University of Newcastle, New South Wales, Australia.</w:t>
            </w:r>
            <w:r>
              <w:rPr>
                <w:rFonts w:ascii="Arial" w:hAnsi="Arial" w:cs="Arial"/>
                <w:i/>
                <w:iCs/>
                <w:sz w:val="15"/>
                <w:szCs w:val="15"/>
              </w:rPr>
              <w:br/>
            </w:r>
            <w:r>
              <w:rPr>
                <w:rStyle w:val="Emphasis"/>
                <w:rFonts w:ascii="Arial" w:hAnsi="Arial" w:cs="Arial"/>
                <w:sz w:val="15"/>
                <w:szCs w:val="15"/>
              </w:rPr>
              <w:t>5) Cardiff Metropolitan University, Cardiff, United Kingdom.</w:t>
            </w:r>
            <w:r>
              <w:rPr>
                <w:rFonts w:ascii="Arial" w:hAnsi="Arial" w:cs="Arial"/>
                <w:i/>
                <w:iCs/>
                <w:sz w:val="15"/>
                <w:szCs w:val="15"/>
              </w:rPr>
              <w:br/>
            </w:r>
            <w:r>
              <w:rPr>
                <w:rStyle w:val="Emphasis"/>
                <w:rFonts w:ascii="Arial" w:hAnsi="Arial" w:cs="Arial"/>
                <w:sz w:val="15"/>
                <w:szCs w:val="15"/>
              </w:rPr>
              <w:t>6) University of Gloucestershire, Gloucester, United Kingdom.</w:t>
            </w:r>
            <w:r>
              <w:rPr>
                <w:rFonts w:ascii="Arial" w:hAnsi="Arial" w:cs="Arial"/>
                <w:i/>
                <w:iCs/>
                <w:sz w:val="15"/>
                <w:szCs w:val="15"/>
              </w:rPr>
              <w:br/>
            </w:r>
            <w:r>
              <w:rPr>
                <w:rStyle w:val="Emphasis"/>
                <w:rFonts w:ascii="Arial" w:hAnsi="Arial" w:cs="Arial"/>
                <w:sz w:val="15"/>
                <w:szCs w:val="15"/>
              </w:rPr>
              <w:t>7) University of Newcastle, New South Wales, Australia.</w:t>
            </w:r>
            <w:r>
              <w:rPr>
                <w:rFonts w:ascii="Arial" w:hAnsi="Arial" w:cs="Arial"/>
                <w:i/>
                <w:iCs/>
                <w:sz w:val="15"/>
                <w:szCs w:val="15"/>
              </w:rPr>
              <w:br/>
            </w:r>
            <w:r>
              <w:rPr>
                <w:rStyle w:val="Emphasis"/>
                <w:rFonts w:ascii="Arial" w:hAnsi="Arial" w:cs="Arial"/>
                <w:sz w:val="15"/>
                <w:szCs w:val="15"/>
              </w:rPr>
              <w:t>8) University of South Australia, Adelaide, Australia.</w:t>
            </w:r>
            <w:r>
              <w:rPr>
                <w:rFonts w:ascii="Arial" w:hAnsi="Arial" w:cs="Arial"/>
                <w:i/>
                <w:iCs/>
                <w:sz w:val="15"/>
                <w:szCs w:val="15"/>
              </w:rPr>
              <w:br/>
            </w:r>
            <w:r>
              <w:rPr>
                <w:rStyle w:val="Emphasis"/>
                <w:rFonts w:ascii="Arial" w:hAnsi="Arial" w:cs="Arial"/>
                <w:sz w:val="15"/>
                <w:szCs w:val="15"/>
              </w:rPr>
              <w:t>9) Australian Institute of Sport, Bruce, Australia.</w:t>
            </w:r>
            <w:r>
              <w:rPr>
                <w:rFonts w:ascii="Arial" w:hAnsi="Arial" w:cs="Arial"/>
                <w:i/>
                <w:iCs/>
                <w:sz w:val="15"/>
                <w:szCs w:val="15"/>
              </w:rPr>
              <w:br/>
            </w:r>
            <w:r>
              <w:rPr>
                <w:rStyle w:val="Emphasis"/>
                <w:rFonts w:ascii="Arial" w:hAnsi="Arial" w:cs="Arial"/>
                <w:sz w:val="15"/>
                <w:szCs w:val="15"/>
              </w:rPr>
              <w:t>10) University of Wollongong, New South Wales, Australia.</w:t>
            </w:r>
            <w:r>
              <w:rPr>
                <w:rFonts w:ascii="Arial" w:hAnsi="Arial" w:cs="Arial"/>
                <w:i/>
                <w:iCs/>
                <w:sz w:val="15"/>
                <w:szCs w:val="15"/>
              </w:rPr>
              <w:br/>
            </w:r>
            <w:r>
              <w:rPr>
                <w:rStyle w:val="Emphasis"/>
                <w:rFonts w:ascii="Arial" w:hAnsi="Arial" w:cs="Arial"/>
                <w:sz w:val="15"/>
                <w:szCs w:val="15"/>
              </w:rPr>
              <w:t>11) Deakin University, Geelong, Australia.</w:t>
            </w:r>
            <w:r>
              <w:rPr>
                <w:rFonts w:ascii="Arial" w:hAnsi="Arial" w:cs="Arial"/>
                <w:i/>
                <w:iCs/>
                <w:sz w:val="15"/>
                <w:szCs w:val="15"/>
              </w:rPr>
              <w:br/>
            </w:r>
            <w:r>
              <w:rPr>
                <w:rStyle w:val="Emphasis"/>
                <w:rFonts w:ascii="Arial" w:hAnsi="Arial" w:cs="Arial"/>
                <w:sz w:val="15"/>
                <w:szCs w:val="15"/>
              </w:rPr>
              <w:t>12) The University of Queensland, Queensland, Australia.</w:t>
            </w:r>
            <w:r>
              <w:rPr>
                <w:rFonts w:ascii="Arial" w:hAnsi="Arial" w:cs="Arial"/>
                <w:i/>
                <w:iCs/>
                <w:sz w:val="15"/>
                <w:szCs w:val="15"/>
              </w:rPr>
              <w:br/>
            </w:r>
            <w:r>
              <w:rPr>
                <w:rStyle w:val="Emphasis"/>
                <w:rFonts w:ascii="Arial" w:hAnsi="Arial" w:cs="Arial"/>
                <w:sz w:val="15"/>
                <w:szCs w:val="15"/>
              </w:rPr>
              <w:t>13) University of Wales Trinity Saint David, Wales, United Kingdom.</w:t>
            </w:r>
            <w:r>
              <w:rPr>
                <w:rFonts w:ascii="Arial" w:hAnsi="Arial" w:cs="Arial"/>
                <w:i/>
                <w:iCs/>
                <w:sz w:val="15"/>
                <w:szCs w:val="15"/>
              </w:rPr>
              <w:br/>
            </w:r>
            <w:r>
              <w:rPr>
                <w:rStyle w:val="Emphasis"/>
                <w:rFonts w:ascii="Arial" w:hAnsi="Arial" w:cs="Arial"/>
                <w:sz w:val="15"/>
                <w:szCs w:val="15"/>
              </w:rPr>
              <w:t>14) University of Technology Sydney, Sydney, Australia.</w:t>
            </w:r>
          </w:p>
        </w:tc>
      </w:tr>
      <w:tr w:rsidR="007B3F60" w14:paraId="653DA269"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468E5DDC" w14:textId="77777777" w:rsidR="007B3F60" w:rsidRDefault="007B3F60">
            <w:r>
              <w:rPr>
                <w:rFonts w:ascii="Arial" w:hAnsi="Arial" w:cs="Arial"/>
                <w:sz w:val="18"/>
                <w:szCs w:val="18"/>
              </w:rPr>
              <w:t>Abstract</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5EB38CD3" w14:textId="77777777" w:rsidR="007B3F60" w:rsidRDefault="007B3F60">
            <w:pPr>
              <w:pStyle w:val="NormalWeb"/>
              <w:spacing w:after="0" w:afterAutospacing="0"/>
            </w:pPr>
            <w:r>
              <w:rPr>
                <w:rStyle w:val="Strong"/>
              </w:rPr>
              <w:t xml:space="preserve">Purpose: </w:t>
            </w:r>
            <w:r>
              <w:t xml:space="preserve">Very few research groups have recommended ways to measure physical literacy. Arguably, physical literacy is an important construct and likely to relate to children’s health, thus it is important to be able to assess it. The purpose of this paper is to provide a guide to physical literacy assessment using the definition of physical literacy agreed upon in Australia in 2017, which includes the four constructs of physical, psychological, cognitive and social capacities. </w:t>
            </w:r>
          </w:p>
          <w:p w14:paraId="292E5491" w14:textId="77777777" w:rsidR="007B3F60" w:rsidRDefault="007B3F60">
            <w:pPr>
              <w:pStyle w:val="NormalWeb"/>
              <w:spacing w:after="0" w:afterAutospacing="0"/>
            </w:pPr>
            <w:r>
              <w:rPr>
                <w:rStyle w:val="Strong"/>
              </w:rPr>
              <w:t>Methods:</w:t>
            </w:r>
            <w:r>
              <w:t xml:space="preserve"> We propose a decision-making heuristic to guide and inform the assessment of physical literacy. </w:t>
            </w:r>
          </w:p>
          <w:p w14:paraId="716F1750" w14:textId="77777777" w:rsidR="007B3F60" w:rsidRDefault="007B3F60">
            <w:pPr>
              <w:pStyle w:val="NormalWeb"/>
              <w:spacing w:after="0" w:afterAutospacing="0"/>
            </w:pPr>
            <w:r>
              <w:rPr>
                <w:rStyle w:val="Strong"/>
              </w:rPr>
              <w:t xml:space="preserve">Results: </w:t>
            </w:r>
            <w:r>
              <w:t xml:space="preserve">Nine guidelines to assist decision-making were identified. These included: 1. Domains of importance (i.e. cognitive, social, psychological, physical); 2. Subdomains (e.g., gross motor skill - subdomain of physical); 3. Context (e.g., physical environment); 4. Purpose (e.g., monitor class levels of motor skill); 5. Age group (e.g., primary school); 6. Structured Observation of Learning Outcomes (SOLO) level (i.e., acquisition and accumulation) 7. Method (e.g., objective-vs-subjective); 8. Number of participants; and 9. Cost. Example assessment scenarios will be presented, which highlight the complexities of assessment across the constructs. </w:t>
            </w:r>
          </w:p>
          <w:p w14:paraId="4DDE53B2" w14:textId="77777777" w:rsidR="007B3F60" w:rsidRDefault="007B3F60">
            <w:pPr>
              <w:pStyle w:val="NormalWeb"/>
              <w:spacing w:after="0" w:afterAutospacing="0"/>
            </w:pPr>
            <w:r>
              <w:rPr>
                <w:rStyle w:val="Strong"/>
              </w:rPr>
              <w:t xml:space="preserve">Discussion/Conclusions: </w:t>
            </w:r>
            <w:r>
              <w:t>Researchers, practitioners and policy makers who are interested in measuring physical literacy need a process to be able to select the methods that best fit their intention, needs and resources. The examples demonstrate that deciding on an assessment approach for physical literacy is not easy because it is an umbrella term for an enormous number of interrelated elements. Nevertheless, it is not feasible (or arguably appropriate) to be prescriptive about measurement tools because of this very complexity of the construct. Considering that our ability to measure is also always evolving, the other advantage is that this system is effectively independent of whatever measures exist at any given point in time.</w:t>
            </w:r>
          </w:p>
        </w:tc>
      </w:tr>
      <w:tr w:rsidR="007B3F60" w14:paraId="2523091D"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088C92AE" w14:textId="77777777" w:rsidR="007B3F60" w:rsidRDefault="007B3F60">
            <w:r>
              <w:rPr>
                <w:rFonts w:ascii="Arial" w:hAnsi="Arial" w:cs="Arial"/>
                <w:sz w:val="18"/>
                <w:szCs w:val="18"/>
              </w:rPr>
              <w:t>Subject Category</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13E3CC58" w14:textId="77777777" w:rsidR="007B3F60" w:rsidRDefault="007B3F60">
            <w:r>
              <w:rPr>
                <w:rFonts w:ascii="Arial" w:hAnsi="Arial" w:cs="Arial"/>
                <w:sz w:val="18"/>
                <w:szCs w:val="18"/>
              </w:rPr>
              <w:t>5. Physical Activity and Sedentary Behaviour</w:t>
            </w:r>
          </w:p>
        </w:tc>
      </w:tr>
      <w:tr w:rsidR="007B3F60" w14:paraId="73D7B2FB"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4C215967" w14:textId="77777777" w:rsidR="007B3F60" w:rsidRDefault="007B3F60">
            <w:r>
              <w:rPr>
                <w:rFonts w:ascii="Arial" w:hAnsi="Arial" w:cs="Arial"/>
                <w:sz w:val="18"/>
                <w:szCs w:val="18"/>
              </w:rPr>
              <w:lastRenderedPageBreak/>
              <w:t>Order in the Symposium</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366FA347" w14:textId="77777777" w:rsidR="007B3F60" w:rsidRDefault="007B3F60">
            <w:r>
              <w:rPr>
                <w:rFonts w:ascii="Arial" w:hAnsi="Arial" w:cs="Arial"/>
                <w:sz w:val="18"/>
                <w:szCs w:val="18"/>
              </w:rPr>
              <w:t>Third</w:t>
            </w:r>
          </w:p>
        </w:tc>
      </w:tr>
      <w:tr w:rsidR="007B3F60" w14:paraId="4F796E4E"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34FA3F5F" w14:textId="77777777" w:rsidR="007B3F60" w:rsidRDefault="007B3F60">
            <w:r>
              <w:rPr>
                <w:rFonts w:ascii="Arial" w:hAnsi="Arial" w:cs="Arial"/>
                <w:sz w:val="18"/>
                <w:szCs w:val="18"/>
              </w:rPr>
              <w:t>Most Appropriate Track</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7F5DE079" w14:textId="77777777" w:rsidR="007B3F60" w:rsidRDefault="007B3F60">
            <w:r>
              <w:rPr>
                <w:rFonts w:ascii="Arial" w:hAnsi="Arial" w:cs="Arial"/>
                <w:sz w:val="18"/>
                <w:szCs w:val="18"/>
              </w:rPr>
              <w:t>D. Assessment and Methodologies</w:t>
            </w:r>
          </w:p>
        </w:tc>
      </w:tr>
      <w:tr w:rsidR="007B3F60" w14:paraId="77959C72"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008972FE" w14:textId="77777777" w:rsidR="007B3F60" w:rsidRDefault="007B3F60">
            <w:r>
              <w:rPr>
                <w:rFonts w:ascii="Arial" w:hAnsi="Arial" w:cs="Arial"/>
                <w:sz w:val="18"/>
                <w:szCs w:val="18"/>
              </w:rPr>
              <w:t>ISBNPA Special Interest Groups</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340D26C8" w14:textId="77777777" w:rsidR="007B3F60" w:rsidRDefault="007B3F60">
            <w:r>
              <w:rPr>
                <w:rFonts w:ascii="Arial" w:hAnsi="Arial" w:cs="Arial"/>
                <w:sz w:val="18"/>
                <w:szCs w:val="18"/>
              </w:rPr>
              <w:t>Policies and environments</w:t>
            </w:r>
          </w:p>
        </w:tc>
      </w:tr>
      <w:tr w:rsidR="007B3F60" w14:paraId="3B4A9949"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419FCC4B" w14:textId="77777777" w:rsidR="007B3F60" w:rsidRDefault="007B3F60">
            <w:r>
              <w:rPr>
                <w:rFonts w:ascii="Arial" w:hAnsi="Arial" w:cs="Arial"/>
                <w:sz w:val="18"/>
                <w:szCs w:val="18"/>
              </w:rPr>
              <w:t>Age Category</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2A6D39AE" w14:textId="77777777" w:rsidR="007B3F60" w:rsidRDefault="007B3F60">
            <w:r>
              <w:rPr>
                <w:rFonts w:ascii="Arial" w:hAnsi="Arial" w:cs="Arial"/>
                <w:sz w:val="18"/>
                <w:szCs w:val="18"/>
              </w:rPr>
              <w:t>all ages</w:t>
            </w:r>
          </w:p>
        </w:tc>
      </w:tr>
      <w:tr w:rsidR="007B3F60" w14:paraId="7812E621"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37E74D87" w14:textId="77777777" w:rsidR="007B3F60" w:rsidRDefault="007B3F60">
            <w:r>
              <w:rPr>
                <w:rFonts w:ascii="Arial" w:hAnsi="Arial" w:cs="Arial"/>
                <w:sz w:val="18"/>
                <w:szCs w:val="18"/>
              </w:rPr>
              <w:t>Disclosure of Conflict of Interest (COI)</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3F95FCE0" w14:textId="77777777" w:rsidR="007B3F60" w:rsidRDefault="007B3F60">
            <w:r>
              <w:rPr>
                <w:rFonts w:ascii="Arial" w:hAnsi="Arial" w:cs="Arial"/>
                <w:sz w:val="18"/>
                <w:szCs w:val="18"/>
              </w:rPr>
              <w:t>The views expressed in this article are those of the authors and do not reflect the views or policy position of the Australian Government or Australian Sports Commission. While the work presented here builds upon partnerships formed in the development of the Australian Sports Commission’s Physical Literacy content, this work is presented independently and does not represent the views of the original panel formed to develop the Physical Literacy content nor the views or policy positions of the Australian Sports Commission or Australian Government.</w:t>
            </w:r>
          </w:p>
        </w:tc>
      </w:tr>
      <w:tr w:rsidR="007B3F60" w14:paraId="6612592F" w14:textId="77777777" w:rsidTr="007B3F60">
        <w:tc>
          <w:tcPr>
            <w:tcW w:w="2100" w:type="dxa"/>
            <w:tcBorders>
              <w:top w:val="nil"/>
              <w:left w:val="single" w:sz="8" w:space="0" w:color="808080"/>
              <w:bottom w:val="single" w:sz="8" w:space="0" w:color="808080"/>
              <w:right w:val="single" w:sz="8" w:space="0" w:color="808080"/>
            </w:tcBorders>
            <w:shd w:val="clear" w:color="auto" w:fill="F8F8F8"/>
            <w:tcMar>
              <w:top w:w="60" w:type="dxa"/>
              <w:left w:w="60" w:type="dxa"/>
              <w:bottom w:w="60" w:type="dxa"/>
              <w:right w:w="60" w:type="dxa"/>
            </w:tcMar>
            <w:hideMark/>
          </w:tcPr>
          <w:p w14:paraId="08136824" w14:textId="77777777" w:rsidR="007B3F60" w:rsidRDefault="007B3F60">
            <w:r>
              <w:rPr>
                <w:rFonts w:ascii="Arial" w:hAnsi="Arial" w:cs="Arial"/>
                <w:sz w:val="18"/>
                <w:szCs w:val="18"/>
              </w:rPr>
              <w:t>Symposium</w:t>
            </w:r>
          </w:p>
        </w:tc>
        <w:tc>
          <w:tcPr>
            <w:tcW w:w="0" w:type="auto"/>
            <w:tcBorders>
              <w:top w:val="nil"/>
              <w:left w:val="nil"/>
              <w:bottom w:val="single" w:sz="8" w:space="0" w:color="808080"/>
              <w:right w:val="single" w:sz="8" w:space="0" w:color="808080"/>
            </w:tcBorders>
            <w:shd w:val="clear" w:color="auto" w:fill="FFFFFF"/>
            <w:tcMar>
              <w:top w:w="60" w:type="dxa"/>
              <w:left w:w="60" w:type="dxa"/>
              <w:bottom w:w="60" w:type="dxa"/>
              <w:right w:w="60" w:type="dxa"/>
            </w:tcMar>
            <w:hideMark/>
          </w:tcPr>
          <w:p w14:paraId="6B8EF322" w14:textId="77777777" w:rsidR="007B3F60" w:rsidRDefault="007B3F60">
            <w:r>
              <w:rPr>
                <w:rFonts w:ascii="Arial" w:hAnsi="Arial" w:cs="Arial"/>
                <w:sz w:val="18"/>
                <w:szCs w:val="18"/>
              </w:rPr>
              <w:t xml:space="preserve">13068: Defining, Operationalising and Measuring Physical Literacy: Australia’s journey in multi-stakeholder engagement to promote movement, physical activity, and sports participation. (Convenor: </w:t>
            </w:r>
            <w:proofErr w:type="spellStart"/>
            <w:r>
              <w:rPr>
                <w:rFonts w:ascii="Arial" w:hAnsi="Arial" w:cs="Arial"/>
                <w:sz w:val="18"/>
                <w:szCs w:val="18"/>
              </w:rPr>
              <w:t>Prof.</w:t>
            </w:r>
            <w:proofErr w:type="spellEnd"/>
            <w:r>
              <w:rPr>
                <w:rFonts w:ascii="Arial" w:hAnsi="Arial" w:cs="Arial"/>
                <w:sz w:val="18"/>
                <w:szCs w:val="18"/>
              </w:rPr>
              <w:t xml:space="preserve"> G </w:t>
            </w:r>
            <w:proofErr w:type="spellStart"/>
            <w:r>
              <w:rPr>
                <w:rFonts w:ascii="Arial" w:hAnsi="Arial" w:cs="Arial"/>
                <w:sz w:val="18"/>
                <w:szCs w:val="18"/>
              </w:rPr>
              <w:t>Cardon</w:t>
            </w:r>
            <w:proofErr w:type="spellEnd"/>
            <w:r>
              <w:rPr>
                <w:rFonts w:ascii="Arial" w:hAnsi="Arial" w:cs="Arial"/>
                <w:sz w:val="18"/>
                <w:szCs w:val="18"/>
              </w:rPr>
              <w:t>)</w:t>
            </w:r>
          </w:p>
        </w:tc>
      </w:tr>
    </w:tbl>
    <w:p w14:paraId="68F44766" w14:textId="77777777" w:rsidR="009711CC" w:rsidRDefault="009711CC"/>
    <w:sectPr w:rsidR="00971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60"/>
    <w:rsid w:val="007B3F60"/>
    <w:rsid w:val="0097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8E1E"/>
  <w15:chartTrackingRefBased/>
  <w15:docId w15:val="{43105E1D-EDAA-4F2F-BC57-3DAE6428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6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3F60"/>
    <w:rPr>
      <w:color w:val="0000FF"/>
      <w:u w:val="single"/>
    </w:rPr>
  </w:style>
  <w:style w:type="paragraph" w:styleId="NormalWeb">
    <w:name w:val="Normal (Web)"/>
    <w:basedOn w:val="Normal"/>
    <w:uiPriority w:val="99"/>
    <w:semiHidden/>
    <w:unhideWhenUsed/>
    <w:rsid w:val="007B3F60"/>
    <w:pPr>
      <w:spacing w:before="100" w:beforeAutospacing="1" w:after="100" w:afterAutospacing="1"/>
    </w:pPr>
    <w:rPr>
      <w:rFonts w:ascii="Arial" w:hAnsi="Arial" w:cs="Arial"/>
      <w:sz w:val="18"/>
      <w:szCs w:val="18"/>
    </w:rPr>
  </w:style>
  <w:style w:type="character" w:styleId="Strong">
    <w:name w:val="Strong"/>
    <w:basedOn w:val="DefaultParagraphFont"/>
    <w:uiPriority w:val="22"/>
    <w:qFormat/>
    <w:rsid w:val="007B3F60"/>
    <w:rPr>
      <w:b/>
      <w:bCs/>
    </w:rPr>
  </w:style>
  <w:style w:type="character" w:styleId="Emphasis">
    <w:name w:val="Emphasis"/>
    <w:basedOn w:val="DefaultParagraphFont"/>
    <w:uiPriority w:val="20"/>
    <w:qFormat/>
    <w:rsid w:val="007B3F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chard.Keegan@Canberra.edu.au" TargetMode="External"/><Relationship Id="rId5" Type="http://schemas.openxmlformats.org/officeDocument/2006/relationships/hyperlink" Target="mailto:dean.dudley@mq.edu.au" TargetMode="External"/><Relationship Id="rId4" Type="http://schemas.openxmlformats.org/officeDocument/2006/relationships/hyperlink" Target="mailto:lisa.barnett@deak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Will</dc:creator>
  <cp:keywords/>
  <dc:description/>
  <cp:lastModifiedBy>ROBERTS, Will</cp:lastModifiedBy>
  <cp:revision>1</cp:revision>
  <dcterms:created xsi:type="dcterms:W3CDTF">2018-04-23T08:17:00Z</dcterms:created>
  <dcterms:modified xsi:type="dcterms:W3CDTF">2018-04-23T08:22:00Z</dcterms:modified>
</cp:coreProperties>
</file>