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AFA" w:rsidRPr="00846E75" w:rsidRDefault="00600AFA" w:rsidP="00846E75">
      <w:pPr>
        <w:spacing w:after="0" w:line="240" w:lineRule="auto"/>
        <w:jc w:val="both"/>
        <w:rPr>
          <w:rFonts w:ascii="Verdana" w:hAnsi="Verdana"/>
          <w:b/>
          <w:noProof/>
          <w:sz w:val="20"/>
          <w:szCs w:val="20"/>
          <w:lang w:val="en-GB"/>
        </w:rPr>
      </w:pPr>
      <w:r w:rsidRPr="00846E75">
        <w:rPr>
          <w:rFonts w:ascii="Verdana" w:hAnsi="Verdana"/>
          <w:b/>
          <w:noProof/>
          <w:sz w:val="20"/>
          <w:szCs w:val="20"/>
          <w:lang w:val="en-GB"/>
        </w:rPr>
        <w:t>Editorial</w:t>
      </w:r>
    </w:p>
    <w:p w:rsidR="00600AFA" w:rsidRPr="00846E75" w:rsidRDefault="00600AFA" w:rsidP="00846E75">
      <w:pPr>
        <w:spacing w:after="0" w:line="240" w:lineRule="auto"/>
        <w:jc w:val="both"/>
        <w:rPr>
          <w:rFonts w:ascii="Verdana" w:hAnsi="Verdana"/>
          <w:noProof/>
          <w:sz w:val="20"/>
          <w:szCs w:val="20"/>
          <w:lang w:val="en-GB"/>
        </w:rPr>
      </w:pPr>
    </w:p>
    <w:p w:rsidR="005B2CD7" w:rsidRDefault="005B2CD7" w:rsidP="00846E75">
      <w:pPr>
        <w:spacing w:after="0" w:line="240" w:lineRule="auto"/>
        <w:jc w:val="both"/>
        <w:rPr>
          <w:rFonts w:ascii="Verdana" w:hAnsi="Verdana" w:cs="Myriad Pro Light"/>
          <w:bCs/>
          <w:iCs/>
          <w:noProof/>
          <w:sz w:val="20"/>
          <w:szCs w:val="20"/>
          <w:lang w:val="en-GB"/>
        </w:rPr>
      </w:pPr>
      <w:r>
        <w:rPr>
          <w:rFonts w:ascii="Verdana" w:hAnsi="Verdana" w:cs="Myriad Pro Light"/>
          <w:bCs/>
          <w:noProof/>
          <w:sz w:val="20"/>
          <w:szCs w:val="20"/>
          <w:lang w:val="en-GB"/>
        </w:rPr>
        <w:t>With res</w:t>
      </w:r>
      <w:r w:rsidR="00996ABF">
        <w:rPr>
          <w:rFonts w:ascii="Verdana" w:hAnsi="Verdana" w:cs="Myriad Pro Light"/>
          <w:bCs/>
          <w:noProof/>
          <w:sz w:val="20"/>
          <w:szCs w:val="20"/>
          <w:lang w:val="en-GB"/>
        </w:rPr>
        <w:t xml:space="preserve">earch from Australia, India, US and </w:t>
      </w:r>
      <w:r w:rsidR="00996ABF" w:rsidRPr="00040D95">
        <w:rPr>
          <w:lang w:val="en-GB"/>
        </w:rPr>
        <w:t>Europe</w:t>
      </w:r>
      <w:r>
        <w:rPr>
          <w:rFonts w:ascii="Verdana" w:hAnsi="Verdana" w:cs="Myriad Pro Light"/>
          <w:bCs/>
          <w:noProof/>
          <w:sz w:val="20"/>
          <w:szCs w:val="20"/>
          <w:lang w:val="en-GB"/>
        </w:rPr>
        <w:t xml:space="preserve"> </w:t>
      </w:r>
      <w:r w:rsidR="00996ABF">
        <w:rPr>
          <w:rFonts w:ascii="Verdana" w:hAnsi="Verdana" w:cs="Myriad Pro Light"/>
          <w:bCs/>
          <w:noProof/>
          <w:sz w:val="20"/>
          <w:szCs w:val="20"/>
          <w:lang w:val="en-GB"/>
        </w:rPr>
        <w:t>t</w:t>
      </w:r>
      <w:r w:rsidR="00550BCA" w:rsidRPr="00846E75">
        <w:rPr>
          <w:rFonts w:ascii="Verdana" w:hAnsi="Verdana" w:cs="Myriad Pro Light"/>
          <w:bCs/>
          <w:noProof/>
          <w:sz w:val="20"/>
          <w:szCs w:val="20"/>
          <w:lang w:val="en-GB"/>
        </w:rPr>
        <w:t>he</w:t>
      </w:r>
      <w:r w:rsidR="00497185" w:rsidRPr="00846E75">
        <w:rPr>
          <w:rFonts w:ascii="Verdana" w:hAnsi="Verdana" w:cs="Myriad Pro Light"/>
          <w:bCs/>
          <w:noProof/>
          <w:sz w:val="20"/>
          <w:szCs w:val="20"/>
          <w:lang w:val="en-GB"/>
        </w:rPr>
        <w:t xml:space="preserve"> </w:t>
      </w:r>
      <w:r w:rsidR="00996ABF">
        <w:rPr>
          <w:rFonts w:ascii="Verdana" w:hAnsi="Verdana" w:cs="Myriad Pro Light"/>
          <w:bCs/>
          <w:noProof/>
          <w:sz w:val="20"/>
          <w:szCs w:val="20"/>
          <w:lang w:val="en-GB"/>
        </w:rPr>
        <w:t xml:space="preserve">retail </w:t>
      </w:r>
      <w:r w:rsidR="00672C1E" w:rsidRPr="00846E75">
        <w:rPr>
          <w:rFonts w:ascii="Verdana" w:hAnsi="Verdana" w:cs="Myriad Pro Light"/>
          <w:bCs/>
          <w:noProof/>
          <w:sz w:val="20"/>
          <w:szCs w:val="20"/>
          <w:lang w:val="en-GB"/>
        </w:rPr>
        <w:t>focus</w:t>
      </w:r>
      <w:r w:rsidR="00497185" w:rsidRPr="00846E75">
        <w:rPr>
          <w:rFonts w:ascii="Verdana" w:hAnsi="Verdana" w:cs="Myriad Pro Light"/>
          <w:bCs/>
          <w:noProof/>
          <w:sz w:val="20"/>
          <w:szCs w:val="20"/>
          <w:lang w:val="en-GB"/>
        </w:rPr>
        <w:t xml:space="preserve"> of </w:t>
      </w:r>
      <w:r w:rsidR="00AC2911" w:rsidRPr="00846E75">
        <w:rPr>
          <w:rFonts w:ascii="Verdana" w:hAnsi="Verdana" w:cs="Myriad Pro Light"/>
          <w:bCs/>
          <w:noProof/>
          <w:sz w:val="20"/>
          <w:szCs w:val="20"/>
          <w:lang w:val="en-GB"/>
        </w:rPr>
        <w:t>this</w:t>
      </w:r>
      <w:r w:rsidR="009C3AFC" w:rsidRPr="00846E75">
        <w:rPr>
          <w:rFonts w:ascii="Verdana" w:hAnsi="Verdana" w:cs="Myriad Pro Light"/>
          <w:bCs/>
          <w:noProof/>
          <w:sz w:val="20"/>
          <w:szCs w:val="20"/>
          <w:lang w:val="en-GB"/>
        </w:rPr>
        <w:t xml:space="preserve"> issue</w:t>
      </w:r>
      <w:r w:rsidR="00996ABF">
        <w:rPr>
          <w:rFonts w:ascii="Verdana" w:hAnsi="Verdana" w:cs="Myriad Pro Light"/>
          <w:bCs/>
          <w:noProof/>
          <w:sz w:val="20"/>
          <w:szCs w:val="20"/>
          <w:lang w:val="en-GB"/>
        </w:rPr>
        <w:t xml:space="preserve"> includes papers on </w:t>
      </w:r>
      <w:r w:rsidRPr="005B2CD7">
        <w:rPr>
          <w:rFonts w:ascii="Verdana" w:hAnsi="Verdana" w:cs="Myriad Pro Light"/>
          <w:bCs/>
          <w:iCs/>
          <w:noProof/>
          <w:sz w:val="20"/>
          <w:szCs w:val="20"/>
          <w:lang w:val="en-GB"/>
        </w:rPr>
        <w:t xml:space="preserve">conceptualization of </w:t>
      </w:r>
      <w:r w:rsidR="006A5A6F">
        <w:rPr>
          <w:rFonts w:ascii="Verdana" w:hAnsi="Verdana" w:cs="Myriad Pro Light"/>
          <w:bCs/>
          <w:iCs/>
          <w:noProof/>
          <w:sz w:val="20"/>
          <w:szCs w:val="20"/>
          <w:lang w:val="en-GB"/>
        </w:rPr>
        <w:t xml:space="preserve">the </w:t>
      </w:r>
      <w:r w:rsidRPr="005B2CD7">
        <w:rPr>
          <w:rFonts w:ascii="Verdana" w:hAnsi="Verdana" w:cs="Myriad Pro Light"/>
          <w:bCs/>
          <w:iCs/>
          <w:noProof/>
          <w:sz w:val="20"/>
          <w:szCs w:val="20"/>
          <w:lang w:val="en-GB"/>
        </w:rPr>
        <w:t xml:space="preserve">shopper as behaviourally distinct from </w:t>
      </w:r>
      <w:r w:rsidR="006A5A6F">
        <w:rPr>
          <w:rFonts w:ascii="Verdana" w:hAnsi="Verdana" w:cs="Myriad Pro Light"/>
          <w:bCs/>
          <w:iCs/>
          <w:noProof/>
          <w:sz w:val="20"/>
          <w:szCs w:val="20"/>
          <w:lang w:val="en-GB"/>
        </w:rPr>
        <w:t xml:space="preserve">the </w:t>
      </w:r>
      <w:r w:rsidRPr="005B2CD7">
        <w:rPr>
          <w:rFonts w:ascii="Verdana" w:hAnsi="Verdana" w:cs="Myriad Pro Light"/>
          <w:bCs/>
          <w:iCs/>
          <w:noProof/>
          <w:sz w:val="20"/>
          <w:szCs w:val="20"/>
          <w:lang w:val="en-GB"/>
        </w:rPr>
        <w:t>consumer</w:t>
      </w:r>
      <w:r>
        <w:rPr>
          <w:rFonts w:ascii="Verdana" w:hAnsi="Verdana" w:cs="Myriad Pro Light"/>
          <w:bCs/>
          <w:iCs/>
          <w:noProof/>
          <w:sz w:val="20"/>
          <w:szCs w:val="20"/>
          <w:lang w:val="en-GB"/>
        </w:rPr>
        <w:t xml:space="preserve">, </w:t>
      </w:r>
      <w:r w:rsidRPr="005B2CD7">
        <w:rPr>
          <w:rFonts w:ascii="Verdana" w:hAnsi="Verdana" w:cs="Myriad Pro Light"/>
          <w:bCs/>
          <w:iCs/>
          <w:noProof/>
          <w:sz w:val="20"/>
          <w:szCs w:val="20"/>
          <w:lang w:val="en-GB"/>
        </w:rPr>
        <w:t>gender differences in store loyalty and differences with age</w:t>
      </w:r>
      <w:r>
        <w:rPr>
          <w:rFonts w:ascii="Verdana" w:hAnsi="Verdana" w:cs="Myriad Pro Light"/>
          <w:bCs/>
          <w:iCs/>
          <w:noProof/>
          <w:sz w:val="20"/>
          <w:szCs w:val="20"/>
          <w:lang w:val="en-GB"/>
        </w:rPr>
        <w:t>,</w:t>
      </w:r>
      <w:r w:rsidRPr="005B2CD7">
        <w:rPr>
          <w:rFonts w:ascii="Verdana" w:hAnsi="Verdana"/>
          <w:iCs/>
          <w:sz w:val="20"/>
          <w:szCs w:val="20"/>
          <w:lang w:val="en-GB"/>
        </w:rPr>
        <w:t xml:space="preserve"> </w:t>
      </w:r>
      <w:r w:rsidRPr="005B2CD7">
        <w:rPr>
          <w:rFonts w:ascii="Verdana" w:hAnsi="Verdana" w:cs="Myriad Pro Light"/>
          <w:bCs/>
          <w:iCs/>
          <w:noProof/>
          <w:sz w:val="20"/>
          <w:szCs w:val="20"/>
          <w:lang w:val="en-GB"/>
        </w:rPr>
        <w:t>how retail websites can engage customers during the course of website navigation</w:t>
      </w:r>
      <w:r>
        <w:rPr>
          <w:rFonts w:ascii="Verdana" w:hAnsi="Verdana" w:cs="Myriad Pro Light"/>
          <w:bCs/>
          <w:iCs/>
          <w:noProof/>
          <w:sz w:val="20"/>
          <w:szCs w:val="20"/>
          <w:lang w:val="en-GB"/>
        </w:rPr>
        <w:t xml:space="preserve">, </w:t>
      </w:r>
      <w:r w:rsidRPr="005B2CD7">
        <w:rPr>
          <w:rFonts w:ascii="Verdana" w:hAnsi="Verdana" w:cs="Myriad Pro Light"/>
          <w:bCs/>
          <w:iCs/>
          <w:noProof/>
          <w:sz w:val="20"/>
          <w:szCs w:val="20"/>
          <w:lang w:val="en-GB"/>
        </w:rPr>
        <w:t>environmental management initiatives in the furniture retail area</w:t>
      </w:r>
      <w:r>
        <w:rPr>
          <w:rFonts w:ascii="Verdana" w:hAnsi="Verdana" w:cs="Myriad Pro Light"/>
          <w:bCs/>
          <w:iCs/>
          <w:noProof/>
          <w:sz w:val="20"/>
          <w:szCs w:val="20"/>
          <w:lang w:val="en-GB"/>
        </w:rPr>
        <w:t xml:space="preserve">, and </w:t>
      </w:r>
      <w:r w:rsidRPr="005B2CD7">
        <w:rPr>
          <w:rFonts w:ascii="Verdana" w:hAnsi="Verdana" w:cs="Myriad Pro Light"/>
          <w:bCs/>
          <w:iCs/>
          <w:noProof/>
          <w:sz w:val="20"/>
          <w:szCs w:val="20"/>
          <w:lang w:val="en-GB"/>
        </w:rPr>
        <w:t>trusting beliefs with purchase intention, uncertainty avoidance, a firm’s reputation and price fairness</w:t>
      </w:r>
      <w:r>
        <w:rPr>
          <w:rFonts w:ascii="Verdana" w:hAnsi="Verdana" w:cs="Myriad Pro Light"/>
          <w:bCs/>
          <w:iCs/>
          <w:noProof/>
          <w:sz w:val="20"/>
          <w:szCs w:val="20"/>
          <w:lang w:val="en-GB"/>
        </w:rPr>
        <w:t>.</w:t>
      </w:r>
    </w:p>
    <w:p w:rsidR="00866C66" w:rsidRPr="00846E75" w:rsidRDefault="00866C66" w:rsidP="00846E75">
      <w:pPr>
        <w:spacing w:after="0" w:line="240" w:lineRule="auto"/>
        <w:jc w:val="both"/>
        <w:rPr>
          <w:rFonts w:ascii="Verdana" w:hAnsi="Verdana"/>
          <w:iCs/>
          <w:sz w:val="20"/>
          <w:szCs w:val="20"/>
          <w:lang w:val="en-GB"/>
        </w:rPr>
      </w:pPr>
    </w:p>
    <w:p w:rsidR="00B51206" w:rsidRPr="00846E75" w:rsidRDefault="00034447" w:rsidP="00846E75">
      <w:pPr>
        <w:spacing w:after="0" w:line="240" w:lineRule="auto"/>
        <w:jc w:val="both"/>
        <w:rPr>
          <w:rFonts w:ascii="Verdana" w:hAnsi="Verdana"/>
          <w:bCs/>
          <w:iCs/>
          <w:sz w:val="20"/>
          <w:szCs w:val="20"/>
          <w:lang w:val="en-GB"/>
        </w:rPr>
      </w:pPr>
      <w:r w:rsidRPr="00846E75">
        <w:rPr>
          <w:rFonts w:ascii="Verdana" w:hAnsi="Verdana"/>
          <w:bCs/>
          <w:iCs/>
          <w:sz w:val="20"/>
          <w:szCs w:val="20"/>
          <w:lang w:val="en-GB"/>
        </w:rPr>
        <w:t xml:space="preserve">The motivation </w:t>
      </w:r>
      <w:r w:rsidRPr="00846E75">
        <w:rPr>
          <w:rFonts w:ascii="Verdana" w:hAnsi="Verdana"/>
          <w:iCs/>
          <w:sz w:val="20"/>
          <w:szCs w:val="20"/>
          <w:lang w:val="en-GB"/>
        </w:rPr>
        <w:t>for t</w:t>
      </w:r>
      <w:r w:rsidR="00B51206" w:rsidRPr="00846E75">
        <w:rPr>
          <w:rFonts w:ascii="Verdana" w:hAnsi="Verdana"/>
          <w:iCs/>
          <w:sz w:val="20"/>
          <w:szCs w:val="20"/>
          <w:lang w:val="en-GB"/>
        </w:rPr>
        <w:t xml:space="preserve">he first paper by </w:t>
      </w:r>
      <w:r w:rsidR="00E76C09" w:rsidRPr="00846E75">
        <w:rPr>
          <w:rFonts w:ascii="Verdana" w:hAnsi="Verdana"/>
          <w:iCs/>
          <w:sz w:val="20"/>
          <w:szCs w:val="20"/>
          <w:lang w:val="en-GB"/>
        </w:rPr>
        <w:t>Jones</w:t>
      </w:r>
      <w:r w:rsidRPr="00846E75">
        <w:rPr>
          <w:rFonts w:ascii="Verdana" w:hAnsi="Verdana"/>
          <w:iCs/>
          <w:sz w:val="20"/>
          <w:szCs w:val="20"/>
          <w:lang w:val="en-GB"/>
        </w:rPr>
        <w:t xml:space="preserve"> and </w:t>
      </w:r>
      <w:r w:rsidR="00E76C09" w:rsidRPr="00846E75">
        <w:rPr>
          <w:rFonts w:ascii="Verdana" w:hAnsi="Verdana" w:cs="Arial"/>
          <w:sz w:val="20"/>
          <w:szCs w:val="20"/>
          <w:lang w:val="en-GB"/>
        </w:rPr>
        <w:t>Runyan</w:t>
      </w:r>
      <w:r w:rsidRPr="00846E75">
        <w:rPr>
          <w:rFonts w:ascii="Verdana" w:hAnsi="Verdana"/>
          <w:bCs/>
          <w:iCs/>
          <w:sz w:val="20"/>
          <w:szCs w:val="20"/>
          <w:lang w:val="en-GB"/>
        </w:rPr>
        <w:t xml:space="preserve"> was to </w:t>
      </w:r>
      <w:r w:rsidR="00E76C09" w:rsidRPr="00846E75">
        <w:rPr>
          <w:rFonts w:ascii="Verdana" w:hAnsi="Verdana"/>
          <w:bCs/>
          <w:iCs/>
          <w:sz w:val="20"/>
          <w:szCs w:val="20"/>
          <w:lang w:val="en-GB"/>
        </w:rPr>
        <w:t xml:space="preserve">explore a conceptualization of </w:t>
      </w:r>
      <w:r w:rsidR="006A5A6F">
        <w:rPr>
          <w:rFonts w:ascii="Verdana" w:hAnsi="Verdana"/>
          <w:bCs/>
          <w:iCs/>
          <w:sz w:val="20"/>
          <w:szCs w:val="20"/>
          <w:lang w:val="en-GB"/>
        </w:rPr>
        <w:t xml:space="preserve">the </w:t>
      </w:r>
      <w:r w:rsidR="00E76C09" w:rsidRPr="00846E75">
        <w:rPr>
          <w:rFonts w:ascii="Verdana" w:hAnsi="Verdana"/>
          <w:bCs/>
          <w:iCs/>
          <w:sz w:val="20"/>
          <w:szCs w:val="20"/>
          <w:lang w:val="en-GB"/>
        </w:rPr>
        <w:t xml:space="preserve">shopper as behaviourally distinct from </w:t>
      </w:r>
      <w:r w:rsidR="006A5A6F">
        <w:rPr>
          <w:rFonts w:ascii="Verdana" w:hAnsi="Verdana"/>
          <w:bCs/>
          <w:iCs/>
          <w:sz w:val="20"/>
          <w:szCs w:val="20"/>
          <w:lang w:val="en-GB"/>
        </w:rPr>
        <w:t xml:space="preserve">the </w:t>
      </w:r>
      <w:r w:rsidR="00E76C09" w:rsidRPr="00846E75">
        <w:rPr>
          <w:rFonts w:ascii="Verdana" w:hAnsi="Verdana"/>
          <w:bCs/>
          <w:iCs/>
          <w:sz w:val="20"/>
          <w:szCs w:val="20"/>
          <w:lang w:val="en-GB"/>
        </w:rPr>
        <w:t xml:space="preserve">consumer. We seek to identify elements foundational to shopper behaviour, using insights from the extant literature. A path-to-purchase framework is proposed, and tested. The framework is further explored as a method for improving shopper segmentation. Over three hundred articles associated with the shopper are examined using a </w:t>
      </w:r>
      <w:proofErr w:type="spellStart"/>
      <w:r w:rsidR="00E76C09" w:rsidRPr="00846E75">
        <w:rPr>
          <w:rFonts w:ascii="Verdana" w:hAnsi="Verdana"/>
          <w:bCs/>
          <w:iCs/>
          <w:sz w:val="20"/>
          <w:szCs w:val="20"/>
          <w:lang w:val="en-GB"/>
        </w:rPr>
        <w:t>bibliometric</w:t>
      </w:r>
      <w:proofErr w:type="spellEnd"/>
      <w:r w:rsidR="00E76C09" w:rsidRPr="00846E75">
        <w:rPr>
          <w:rFonts w:ascii="Verdana" w:hAnsi="Verdana"/>
          <w:bCs/>
          <w:iCs/>
          <w:sz w:val="20"/>
          <w:szCs w:val="20"/>
          <w:lang w:val="en-GB"/>
        </w:rPr>
        <w:t xml:space="preserve"> methodology. Our findings reveal five stages through which shoppers’ progress in pursuit of purchase resolution. The exploratory study reveals the positive influence of each stage one on another. Additionally, shopper perception of the</w:t>
      </w:r>
      <w:bookmarkStart w:id="0" w:name="_GoBack"/>
      <w:bookmarkEnd w:id="0"/>
      <w:r w:rsidR="00E76C09" w:rsidRPr="00846E75">
        <w:rPr>
          <w:rFonts w:ascii="Verdana" w:hAnsi="Verdana"/>
          <w:bCs/>
          <w:iCs/>
          <w:sz w:val="20"/>
          <w:szCs w:val="20"/>
          <w:lang w:val="en-GB"/>
        </w:rPr>
        <w:t xml:space="preserve"> importance of the recipient and the occasion moderate relationships associated with purchase outcomes. The framework is suited for both industry and academia to better address shopper needs and the conflicting messages which result from the overlay of consumer behaviour on a shopper. </w:t>
      </w:r>
    </w:p>
    <w:p w:rsidR="00E76C09" w:rsidRPr="00846E75" w:rsidRDefault="00E76C09" w:rsidP="00846E75">
      <w:pPr>
        <w:spacing w:after="0" w:line="240" w:lineRule="auto"/>
        <w:jc w:val="both"/>
        <w:rPr>
          <w:rFonts w:ascii="Verdana" w:hAnsi="Verdana"/>
          <w:b/>
          <w:bCs/>
          <w:iCs/>
          <w:sz w:val="20"/>
          <w:szCs w:val="20"/>
          <w:lang w:val="en-GB"/>
        </w:rPr>
      </w:pPr>
    </w:p>
    <w:p w:rsidR="00793580" w:rsidRPr="00846E75" w:rsidRDefault="00034447" w:rsidP="00846E75">
      <w:pPr>
        <w:spacing w:after="0" w:line="240" w:lineRule="auto"/>
        <w:jc w:val="both"/>
        <w:rPr>
          <w:rFonts w:ascii="Verdana" w:hAnsi="Verdana"/>
          <w:iCs/>
          <w:sz w:val="20"/>
          <w:szCs w:val="20"/>
          <w:lang w:val="en-GB"/>
        </w:rPr>
      </w:pPr>
      <w:r w:rsidRPr="00846E75">
        <w:rPr>
          <w:rFonts w:ascii="Verdana" w:hAnsi="Verdana"/>
          <w:bCs/>
          <w:iCs/>
          <w:sz w:val="20"/>
          <w:szCs w:val="20"/>
          <w:lang w:val="en-GB"/>
        </w:rPr>
        <w:t>T</w:t>
      </w:r>
      <w:r w:rsidR="002B177F" w:rsidRPr="00846E75">
        <w:rPr>
          <w:rFonts w:ascii="Verdana" w:hAnsi="Verdana"/>
          <w:iCs/>
          <w:sz w:val="20"/>
          <w:szCs w:val="20"/>
          <w:lang w:val="en-GB"/>
        </w:rPr>
        <w:t xml:space="preserve">he second paper by </w:t>
      </w:r>
      <w:r w:rsidR="00793580" w:rsidRPr="00846E75">
        <w:rPr>
          <w:rFonts w:ascii="Verdana" w:hAnsi="Verdana"/>
          <w:iCs/>
          <w:sz w:val="20"/>
          <w:szCs w:val="20"/>
          <w:lang w:val="en-GB"/>
        </w:rPr>
        <w:t xml:space="preserve">Audrain-Pontevia </w:t>
      </w:r>
      <w:r w:rsidRPr="00846E75">
        <w:rPr>
          <w:rFonts w:ascii="Verdana" w:hAnsi="Verdana"/>
          <w:iCs/>
          <w:sz w:val="20"/>
          <w:szCs w:val="20"/>
          <w:lang w:val="en-GB"/>
        </w:rPr>
        <w:t xml:space="preserve">and </w:t>
      </w:r>
      <w:proofErr w:type="spellStart"/>
      <w:r w:rsidR="00E76C09" w:rsidRPr="00846E75">
        <w:rPr>
          <w:rFonts w:ascii="Verdana" w:hAnsi="Verdana" w:cs="Arial"/>
          <w:bCs/>
          <w:sz w:val="20"/>
          <w:szCs w:val="20"/>
          <w:lang w:val="en-GB"/>
        </w:rPr>
        <w:t>Vanhuele</w:t>
      </w:r>
      <w:proofErr w:type="spellEnd"/>
      <w:r w:rsidR="00E76C09" w:rsidRPr="00846E75">
        <w:rPr>
          <w:rFonts w:ascii="Verdana" w:hAnsi="Verdana"/>
          <w:iCs/>
          <w:sz w:val="20"/>
          <w:szCs w:val="20"/>
          <w:lang w:val="en-GB"/>
        </w:rPr>
        <w:t xml:space="preserve"> </w:t>
      </w:r>
      <w:r w:rsidR="00793580" w:rsidRPr="00846E75">
        <w:rPr>
          <w:rFonts w:ascii="Verdana" w:hAnsi="Verdana"/>
          <w:iCs/>
          <w:sz w:val="20"/>
          <w:szCs w:val="20"/>
          <w:lang w:val="en-GB"/>
        </w:rPr>
        <w:t>examined gender differences in store loyalty and how those differences evolve with age. Data for the study were collected in a survey of over thirty two thousand shoppers in more than fifty grocery stores belonging to the same chain. Twenty satisfaction items were factor-analysed, resulting in four satisfaction factors. A logistic regression with store exclusivity as the dependent variable was then run to test the research hypotheses. This study found that men were more loyal than women to the store chain, while women were more loyal than men to individual stores. Women’s loyalty was more influenced by their satisfaction with interaction with store employees, while for men loyalty was more influenced by satisfaction with impersonal dimensions. Store loyalty increases with age, an effect that cannot be explained solely by declining mobility and cognitive impairment. This research examines declared behavioural practices rather than actual behaviour. However, in view of the high frequency of purchases in the retail category examined, and also because of the large sample of over fifty different stores, declared practices should be highly correlated with actual behaviour.</w:t>
      </w:r>
    </w:p>
    <w:p w:rsidR="00034447" w:rsidRPr="00846E75" w:rsidRDefault="00034447" w:rsidP="00846E75">
      <w:pPr>
        <w:spacing w:after="0" w:line="240" w:lineRule="auto"/>
        <w:jc w:val="both"/>
        <w:rPr>
          <w:rFonts w:ascii="Verdana" w:hAnsi="Verdana"/>
          <w:iCs/>
          <w:sz w:val="20"/>
          <w:szCs w:val="20"/>
          <w:lang w:val="en-GB"/>
        </w:rPr>
      </w:pPr>
    </w:p>
    <w:p w:rsidR="00F53789" w:rsidRPr="00846E75" w:rsidRDefault="00793580" w:rsidP="00846E75">
      <w:pPr>
        <w:spacing w:after="0" w:line="240" w:lineRule="auto"/>
        <w:jc w:val="both"/>
        <w:rPr>
          <w:rFonts w:ascii="Verdana" w:hAnsi="Verdana"/>
          <w:iCs/>
          <w:sz w:val="20"/>
          <w:szCs w:val="20"/>
          <w:lang w:val="en-GB"/>
        </w:rPr>
      </w:pPr>
      <w:r w:rsidRPr="00846E75">
        <w:rPr>
          <w:rFonts w:ascii="Verdana" w:hAnsi="Verdana"/>
          <w:iCs/>
          <w:sz w:val="20"/>
          <w:szCs w:val="20"/>
          <w:lang w:val="en-GB"/>
        </w:rPr>
        <w:t xml:space="preserve">A customer’s visit to a retail website is a critical ‘moment of truth’ during which contemporary retailers attempt to simultaneously, during a single web navigation, capture customers’ attention, build rapport and prompt them to act. </w:t>
      </w:r>
      <w:r w:rsidR="00C47F94" w:rsidRPr="00846E75">
        <w:rPr>
          <w:rFonts w:ascii="Verdana" w:hAnsi="Verdana"/>
          <w:iCs/>
          <w:sz w:val="20"/>
          <w:szCs w:val="20"/>
          <w:lang w:val="en-GB"/>
        </w:rPr>
        <w:t xml:space="preserve">The </w:t>
      </w:r>
      <w:r w:rsidR="002B177F" w:rsidRPr="00846E75">
        <w:rPr>
          <w:rFonts w:ascii="Verdana" w:hAnsi="Verdana"/>
          <w:iCs/>
          <w:sz w:val="20"/>
          <w:szCs w:val="20"/>
          <w:lang w:val="en-GB"/>
        </w:rPr>
        <w:t xml:space="preserve">third paper by </w:t>
      </w:r>
      <w:proofErr w:type="spellStart"/>
      <w:r w:rsidRPr="00846E75">
        <w:rPr>
          <w:rFonts w:ascii="Verdana" w:hAnsi="Verdana"/>
          <w:iCs/>
          <w:sz w:val="20"/>
          <w:szCs w:val="20"/>
          <w:lang w:val="en-GB"/>
        </w:rPr>
        <w:t>Demangeot</w:t>
      </w:r>
      <w:proofErr w:type="spellEnd"/>
      <w:r w:rsidRPr="00846E75">
        <w:rPr>
          <w:rFonts w:ascii="Verdana" w:hAnsi="Verdana"/>
          <w:iCs/>
          <w:sz w:val="20"/>
          <w:szCs w:val="20"/>
          <w:lang w:val="en-GB"/>
        </w:rPr>
        <w:t xml:space="preserve"> and Broderick considers how retail websites can engage customers during the course of website navigation. A conceptual model of website customer engagement underpinned by relationship market</w:t>
      </w:r>
      <w:r w:rsidR="00F53789" w:rsidRPr="00846E75">
        <w:rPr>
          <w:rFonts w:ascii="Verdana" w:hAnsi="Verdana"/>
          <w:iCs/>
          <w:sz w:val="20"/>
          <w:szCs w:val="20"/>
          <w:lang w:val="en-GB"/>
        </w:rPr>
        <w:t>ing and communication knowledge</w:t>
      </w:r>
      <w:r w:rsidRPr="00846E75">
        <w:rPr>
          <w:rFonts w:ascii="Verdana" w:hAnsi="Verdana"/>
          <w:iCs/>
          <w:sz w:val="20"/>
          <w:szCs w:val="20"/>
          <w:lang w:val="en-GB"/>
        </w:rPr>
        <w:t xml:space="preserve"> shows how perceptions of the website’s exploration and sense-making potential can activate consumer engagement, and is then empirically tested.</w:t>
      </w:r>
      <w:r w:rsidRPr="00846E75">
        <w:rPr>
          <w:rFonts w:ascii="Verdana" w:hAnsi="Verdana"/>
          <w:bCs/>
          <w:i/>
          <w:iCs/>
          <w:sz w:val="20"/>
          <w:szCs w:val="20"/>
          <w:lang w:val="en-GB"/>
        </w:rPr>
        <w:t xml:space="preserve"> </w:t>
      </w:r>
      <w:r w:rsidRPr="00846E75">
        <w:rPr>
          <w:rFonts w:ascii="Verdana" w:hAnsi="Verdana"/>
          <w:bCs/>
          <w:iCs/>
          <w:sz w:val="20"/>
          <w:szCs w:val="20"/>
          <w:lang w:val="en-GB"/>
        </w:rPr>
        <w:t>Using</w:t>
      </w:r>
      <w:r w:rsidRPr="00846E75">
        <w:rPr>
          <w:rFonts w:ascii="Verdana" w:hAnsi="Verdana"/>
          <w:bCs/>
          <w:i/>
          <w:iCs/>
          <w:sz w:val="20"/>
          <w:szCs w:val="20"/>
          <w:lang w:val="en-GB"/>
        </w:rPr>
        <w:t xml:space="preserve"> </w:t>
      </w:r>
      <w:r w:rsidRPr="00846E75">
        <w:rPr>
          <w:rFonts w:ascii="Verdana" w:hAnsi="Verdana"/>
          <w:iCs/>
          <w:sz w:val="20"/>
          <w:szCs w:val="20"/>
          <w:lang w:val="en-GB"/>
        </w:rPr>
        <w:t xml:space="preserve">survey data, measures of the four dimensions of engagement (interaction engagement, activity engagement, behavioural engagement, and communication engagement) </w:t>
      </w:r>
      <w:r w:rsidR="00F53789" w:rsidRPr="00846E75">
        <w:rPr>
          <w:rFonts w:ascii="Verdana" w:hAnsi="Verdana"/>
          <w:iCs/>
          <w:sz w:val="20"/>
          <w:szCs w:val="20"/>
          <w:lang w:val="en-GB"/>
        </w:rPr>
        <w:t>and of three drivers we</w:t>
      </w:r>
      <w:r w:rsidRPr="00846E75">
        <w:rPr>
          <w:rFonts w:ascii="Verdana" w:hAnsi="Verdana"/>
          <w:iCs/>
          <w:sz w:val="20"/>
          <w:szCs w:val="20"/>
          <w:lang w:val="en-GB"/>
        </w:rPr>
        <w:t xml:space="preserve">re developed and validated. The model is tested empirically </w:t>
      </w:r>
      <w:r w:rsidRPr="00846E75">
        <w:rPr>
          <w:rFonts w:ascii="Verdana" w:hAnsi="Verdana"/>
          <w:bCs/>
          <w:iCs/>
          <w:sz w:val="20"/>
          <w:szCs w:val="20"/>
          <w:lang w:val="en-GB"/>
        </w:rPr>
        <w:t>using s</w:t>
      </w:r>
      <w:r w:rsidRPr="00846E75">
        <w:rPr>
          <w:rFonts w:ascii="Verdana" w:hAnsi="Verdana"/>
          <w:iCs/>
          <w:sz w:val="20"/>
          <w:szCs w:val="20"/>
          <w:lang w:val="en-GB"/>
        </w:rPr>
        <w:t xml:space="preserve">tructural equation modelling. </w:t>
      </w:r>
      <w:r w:rsidRPr="00846E75">
        <w:rPr>
          <w:rFonts w:ascii="Verdana" w:hAnsi="Verdana"/>
          <w:bCs/>
          <w:iCs/>
          <w:sz w:val="20"/>
          <w:szCs w:val="20"/>
          <w:lang w:val="en-GB"/>
        </w:rPr>
        <w:t xml:space="preserve">The results support the process conceptualisation of engagement, which identifies organismic as well as conative stages, and </w:t>
      </w:r>
      <w:r w:rsidRPr="00846E75">
        <w:rPr>
          <w:rFonts w:ascii="Verdana" w:hAnsi="Verdana"/>
          <w:iCs/>
          <w:sz w:val="20"/>
          <w:szCs w:val="20"/>
          <w:lang w:val="en-GB"/>
        </w:rPr>
        <w:t xml:space="preserve">show the distinct roles played by perceptions of </w:t>
      </w:r>
      <w:r w:rsidRPr="00846E75">
        <w:rPr>
          <w:rFonts w:ascii="Verdana" w:hAnsi="Verdana"/>
          <w:iCs/>
          <w:sz w:val="20"/>
          <w:szCs w:val="20"/>
          <w:lang w:val="en-GB"/>
        </w:rPr>
        <w:lastRenderedPageBreak/>
        <w:t>informational exploration, experiential exploration and sense-making in activating engagement.</w:t>
      </w:r>
      <w:r w:rsidR="00F53789" w:rsidRPr="00846E75">
        <w:rPr>
          <w:rFonts w:ascii="Verdana" w:hAnsi="Verdana"/>
          <w:iCs/>
          <w:sz w:val="20"/>
          <w:szCs w:val="20"/>
          <w:lang w:val="en-GB"/>
        </w:rPr>
        <w:t xml:space="preserve"> </w:t>
      </w:r>
      <w:r w:rsidRPr="00846E75">
        <w:rPr>
          <w:rFonts w:ascii="Verdana" w:hAnsi="Verdana"/>
          <w:bCs/>
          <w:iCs/>
          <w:sz w:val="20"/>
          <w:szCs w:val="20"/>
          <w:lang w:val="en-GB"/>
        </w:rPr>
        <w:t xml:space="preserve">The study </w:t>
      </w:r>
      <w:r w:rsidR="00F53789" w:rsidRPr="00846E75">
        <w:rPr>
          <w:rFonts w:ascii="Verdana" w:hAnsi="Verdana"/>
          <w:bCs/>
          <w:iCs/>
          <w:sz w:val="20"/>
          <w:szCs w:val="20"/>
          <w:lang w:val="en-GB"/>
        </w:rPr>
        <w:t xml:space="preserve">also </w:t>
      </w:r>
      <w:r w:rsidRPr="00846E75">
        <w:rPr>
          <w:rFonts w:ascii="Verdana" w:hAnsi="Verdana"/>
          <w:iCs/>
          <w:sz w:val="20"/>
          <w:szCs w:val="20"/>
          <w:lang w:val="en-GB"/>
        </w:rPr>
        <w:t xml:space="preserve">provides online retailing practice </w:t>
      </w:r>
      <w:r w:rsidRPr="00846E75">
        <w:rPr>
          <w:rFonts w:ascii="Verdana" w:hAnsi="Verdana"/>
          <w:bCs/>
          <w:iCs/>
          <w:sz w:val="20"/>
          <w:szCs w:val="20"/>
          <w:lang w:val="en-GB"/>
        </w:rPr>
        <w:t xml:space="preserve">with an organising framework </w:t>
      </w:r>
      <w:r w:rsidRPr="00846E75">
        <w:rPr>
          <w:rFonts w:ascii="Verdana" w:hAnsi="Verdana"/>
          <w:iCs/>
          <w:sz w:val="20"/>
          <w:szCs w:val="20"/>
          <w:lang w:val="en-GB"/>
        </w:rPr>
        <w:t xml:space="preserve">enabling online retailing managers to consider how, depending on their product category and their </w:t>
      </w:r>
      <w:proofErr w:type="gramStart"/>
      <w:r w:rsidRPr="00846E75">
        <w:rPr>
          <w:rFonts w:ascii="Verdana" w:hAnsi="Verdana"/>
          <w:iCs/>
          <w:sz w:val="20"/>
          <w:szCs w:val="20"/>
          <w:lang w:val="en-GB"/>
        </w:rPr>
        <w:t>size,</w:t>
      </w:r>
      <w:proofErr w:type="gramEnd"/>
      <w:r w:rsidRPr="00846E75">
        <w:rPr>
          <w:rFonts w:ascii="Verdana" w:hAnsi="Verdana"/>
          <w:iCs/>
          <w:sz w:val="20"/>
          <w:szCs w:val="20"/>
          <w:lang w:val="en-GB"/>
        </w:rPr>
        <w:t xml:space="preserve"> they might (re)design their website to optimally produce customer engagement. </w:t>
      </w:r>
    </w:p>
    <w:p w:rsidR="00846E75" w:rsidRDefault="00846E75" w:rsidP="00846E75">
      <w:pPr>
        <w:spacing w:after="0" w:line="240" w:lineRule="auto"/>
        <w:jc w:val="both"/>
        <w:rPr>
          <w:rFonts w:ascii="Verdana" w:hAnsi="Verdana"/>
          <w:iCs/>
          <w:sz w:val="20"/>
          <w:szCs w:val="20"/>
          <w:lang w:val="en-GB"/>
        </w:rPr>
      </w:pPr>
    </w:p>
    <w:p w:rsidR="00F53789" w:rsidRPr="00846E75" w:rsidRDefault="00F53789" w:rsidP="00846E75">
      <w:pPr>
        <w:spacing w:after="0" w:line="240" w:lineRule="auto"/>
        <w:jc w:val="both"/>
        <w:rPr>
          <w:rFonts w:ascii="Verdana" w:hAnsi="Verdana"/>
          <w:iCs/>
          <w:sz w:val="20"/>
          <w:szCs w:val="20"/>
          <w:lang w:val="en-GB"/>
        </w:rPr>
      </w:pPr>
      <w:r w:rsidRPr="00846E75">
        <w:rPr>
          <w:rFonts w:ascii="Verdana" w:hAnsi="Verdana"/>
          <w:iCs/>
          <w:sz w:val="20"/>
          <w:szCs w:val="20"/>
          <w:lang w:val="en-GB"/>
        </w:rPr>
        <w:t>The purpose of t</w:t>
      </w:r>
      <w:r w:rsidR="00C47F94" w:rsidRPr="00846E75">
        <w:rPr>
          <w:rFonts w:ascii="Verdana" w:hAnsi="Verdana"/>
          <w:iCs/>
          <w:sz w:val="20"/>
          <w:szCs w:val="20"/>
          <w:lang w:val="en-GB"/>
        </w:rPr>
        <w:t xml:space="preserve">he fourth paper by </w:t>
      </w:r>
      <w:r w:rsidRPr="00846E75">
        <w:rPr>
          <w:rFonts w:ascii="Verdana" w:hAnsi="Verdana"/>
          <w:iCs/>
          <w:sz w:val="20"/>
          <w:szCs w:val="20"/>
          <w:lang w:val="en-GB"/>
        </w:rPr>
        <w:t xml:space="preserve">Creed and </w:t>
      </w:r>
      <w:proofErr w:type="spellStart"/>
      <w:r w:rsidRPr="00846E75">
        <w:rPr>
          <w:rFonts w:ascii="Verdana" w:hAnsi="Verdana"/>
          <w:iCs/>
          <w:sz w:val="20"/>
          <w:szCs w:val="20"/>
          <w:lang w:val="en-GB"/>
        </w:rPr>
        <w:t>Zutshi</w:t>
      </w:r>
      <w:proofErr w:type="spellEnd"/>
      <w:r w:rsidRPr="00846E75">
        <w:rPr>
          <w:rFonts w:ascii="Verdana" w:hAnsi="Verdana"/>
          <w:iCs/>
          <w:sz w:val="20"/>
          <w:szCs w:val="20"/>
          <w:lang w:val="en-GB"/>
        </w:rPr>
        <w:t xml:space="preserve"> is to present an overview of environmental management initiatives in the furniture retail area. The specific aim is to present reflections of participants implementing environmental initiatives in an Australian furniture retailer in alignment with a secondary snapshot of environmental initiatives from other furniture retailers. Primary reflections from the retailer’s manager and external consultant, both involved in the implementation of environmental initiatives are enriched with secondary review of environmental management system trends and examples from regions active in the designer furniture sector, including Europe, South East Asia and North America. An integrated view has been distilled around environmental impact in the furniture supply chain and consumer pressure to minimise the impact. Stakeholders require furniture retailers to improve efficiency and profitability amid the countervailing market demand for environmental sustainability. Retailers may seek competitive advantage through effectively applied and communicated environmental management. The voluntary adoption of systems, international standards and innovative practices that conserve natural resources are amongst the key to success. A live case example of Australian experience is added to the knowledge base for the global retail furniture industry. </w:t>
      </w:r>
    </w:p>
    <w:p w:rsidR="00846E75" w:rsidRDefault="00846E75" w:rsidP="00846E75">
      <w:pPr>
        <w:spacing w:after="0" w:line="240" w:lineRule="auto"/>
        <w:jc w:val="both"/>
        <w:rPr>
          <w:rFonts w:ascii="Verdana" w:hAnsi="Verdana"/>
          <w:iCs/>
          <w:sz w:val="20"/>
          <w:szCs w:val="20"/>
          <w:lang w:val="en-GB"/>
        </w:rPr>
      </w:pPr>
    </w:p>
    <w:p w:rsidR="00446D53" w:rsidRPr="00846E75" w:rsidRDefault="00995C08" w:rsidP="00846E75">
      <w:pPr>
        <w:spacing w:after="0" w:line="240" w:lineRule="auto"/>
        <w:jc w:val="both"/>
        <w:rPr>
          <w:rFonts w:ascii="Verdana" w:hAnsi="Verdana"/>
          <w:iCs/>
          <w:sz w:val="20"/>
          <w:szCs w:val="20"/>
          <w:lang w:val="en-GB"/>
        </w:rPr>
      </w:pPr>
      <w:r w:rsidRPr="00846E75">
        <w:rPr>
          <w:rFonts w:ascii="Verdana" w:hAnsi="Verdana"/>
          <w:iCs/>
          <w:sz w:val="20"/>
          <w:szCs w:val="20"/>
          <w:lang w:val="en-GB"/>
        </w:rPr>
        <w:t xml:space="preserve">The </w:t>
      </w:r>
      <w:r w:rsidR="00BF0D36" w:rsidRPr="00846E75">
        <w:rPr>
          <w:rFonts w:ascii="Verdana" w:hAnsi="Verdana"/>
          <w:iCs/>
          <w:sz w:val="20"/>
          <w:szCs w:val="20"/>
          <w:lang w:val="en-GB"/>
        </w:rPr>
        <w:t xml:space="preserve">fifth paper by </w:t>
      </w:r>
      <w:r w:rsidR="00F53789" w:rsidRPr="00846E75">
        <w:rPr>
          <w:rFonts w:ascii="Verdana" w:hAnsi="Verdana"/>
          <w:iCs/>
          <w:sz w:val="20"/>
          <w:szCs w:val="20"/>
          <w:lang w:val="en-GB"/>
        </w:rPr>
        <w:t xml:space="preserve">Sekhon, </w:t>
      </w:r>
      <w:proofErr w:type="spellStart"/>
      <w:r w:rsidR="00F53789" w:rsidRPr="00846E75">
        <w:rPr>
          <w:rFonts w:ascii="Verdana" w:hAnsi="Verdana"/>
          <w:iCs/>
          <w:sz w:val="20"/>
          <w:szCs w:val="20"/>
          <w:lang w:val="en-GB"/>
        </w:rPr>
        <w:t>Sahi</w:t>
      </w:r>
      <w:proofErr w:type="spellEnd"/>
      <w:r w:rsidR="00F53789" w:rsidRPr="00846E75">
        <w:rPr>
          <w:rFonts w:ascii="Verdana" w:hAnsi="Verdana"/>
          <w:iCs/>
          <w:sz w:val="20"/>
          <w:szCs w:val="20"/>
          <w:lang w:val="en-GB"/>
        </w:rPr>
        <w:t xml:space="preserve"> and </w:t>
      </w:r>
      <w:proofErr w:type="spellStart"/>
      <w:r w:rsidR="00F53789" w:rsidRPr="00846E75">
        <w:rPr>
          <w:rFonts w:ascii="Verdana" w:hAnsi="Verdana"/>
          <w:iCs/>
          <w:sz w:val="20"/>
          <w:szCs w:val="20"/>
          <w:lang w:val="en-GB"/>
        </w:rPr>
        <w:t>Quareshi</w:t>
      </w:r>
      <w:proofErr w:type="spellEnd"/>
      <w:r w:rsidR="00F53789" w:rsidRPr="00846E75">
        <w:rPr>
          <w:rFonts w:ascii="Verdana" w:hAnsi="Verdana"/>
          <w:iCs/>
          <w:sz w:val="20"/>
          <w:szCs w:val="20"/>
          <w:lang w:val="en-GB"/>
        </w:rPr>
        <w:t xml:space="preserve"> </w:t>
      </w:r>
      <w:r w:rsidR="00446D53" w:rsidRPr="00846E75">
        <w:rPr>
          <w:rFonts w:ascii="Verdana" w:hAnsi="Verdana"/>
          <w:iCs/>
          <w:sz w:val="20"/>
          <w:szCs w:val="20"/>
          <w:lang w:val="en-GB"/>
        </w:rPr>
        <w:t>empirically models trusting beliefs with purchase intention, uncertainty avoidance, a firm’s reputation and price fairness. The research is based on a sample of more than two hundred Internet customers in India. In understanding our data and the relationships that emerged, we use a range of tools including CFA and SEM. To validate our work we also examine alternative models.</w:t>
      </w:r>
      <w:r w:rsidR="00446D53" w:rsidRPr="00846E75">
        <w:rPr>
          <w:rFonts w:ascii="Verdana" w:hAnsi="Verdana"/>
          <w:b/>
          <w:iCs/>
          <w:sz w:val="20"/>
          <w:szCs w:val="20"/>
          <w:lang w:val="en-GB"/>
        </w:rPr>
        <w:t xml:space="preserve"> </w:t>
      </w:r>
      <w:r w:rsidR="00446D53" w:rsidRPr="00846E75">
        <w:rPr>
          <w:rFonts w:ascii="Verdana" w:hAnsi="Verdana"/>
          <w:iCs/>
          <w:sz w:val="20"/>
          <w:szCs w:val="20"/>
          <w:lang w:val="en-GB"/>
        </w:rPr>
        <w:t>The</w:t>
      </w:r>
      <w:r w:rsidR="00446D53" w:rsidRPr="00846E75">
        <w:rPr>
          <w:rFonts w:ascii="Verdana" w:hAnsi="Verdana"/>
          <w:b/>
          <w:iCs/>
          <w:sz w:val="20"/>
          <w:szCs w:val="20"/>
          <w:lang w:val="en-GB"/>
        </w:rPr>
        <w:t xml:space="preserve"> </w:t>
      </w:r>
      <w:r w:rsidR="00446D53" w:rsidRPr="00846E75">
        <w:rPr>
          <w:rFonts w:ascii="Verdana" w:hAnsi="Verdana"/>
          <w:iCs/>
          <w:sz w:val="20"/>
          <w:szCs w:val="20"/>
          <w:lang w:val="en-GB"/>
        </w:rPr>
        <w:t>study reveals that trusting beliefs are negatively influenced by an uncertainty avoidance culture and positively influenced by a firm’s reputation and a customer’s price fairness. Moreover, purchase intentions are significantly enhanced by trusting beliefs in an online environment. The paper shows how the Internet, as a channel is influenced and thus how it can be managed. In making our contribution we provide guidance in terms of operational activity to engage with potential customers. By using a developing market for our empirical foundation, the findings are also applicable to markets displaying similar characteristics.</w:t>
      </w:r>
    </w:p>
    <w:p w:rsidR="00600AFA" w:rsidRPr="00446D53" w:rsidRDefault="00244528" w:rsidP="00846E75">
      <w:pPr>
        <w:spacing w:after="0" w:line="240" w:lineRule="auto"/>
        <w:jc w:val="both"/>
        <w:rPr>
          <w:rFonts w:ascii="Verdana" w:hAnsi="Verdana"/>
          <w:iCs/>
          <w:sz w:val="20"/>
          <w:szCs w:val="20"/>
          <w:lang w:val="en-GB"/>
        </w:rPr>
      </w:pPr>
      <w:r w:rsidRPr="00846E75">
        <w:rPr>
          <w:rFonts w:ascii="Verdana" w:hAnsi="Verdana"/>
          <w:noProof/>
          <w:sz w:val="20"/>
          <w:szCs w:val="20"/>
          <w:lang w:val="en-GB"/>
        </w:rPr>
        <w:br w:type="page"/>
      </w:r>
      <w:r w:rsidR="00600AFA" w:rsidRPr="00995C08">
        <w:rPr>
          <w:rFonts w:ascii="Verdana" w:hAnsi="Verdana"/>
          <w:b/>
          <w:noProof/>
          <w:sz w:val="20"/>
          <w:szCs w:val="20"/>
          <w:lang w:val="en-GB"/>
        </w:rPr>
        <w:lastRenderedPageBreak/>
        <w:t>Submission Summary</w:t>
      </w:r>
      <w:r w:rsidR="00003224" w:rsidRPr="00995C08">
        <w:rPr>
          <w:rFonts w:ascii="Verdana" w:hAnsi="Verdana"/>
          <w:b/>
          <w:noProof/>
          <w:sz w:val="20"/>
          <w:szCs w:val="20"/>
          <w:lang w:val="en-GB"/>
        </w:rPr>
        <w:t xml:space="preserve"> </w:t>
      </w:r>
    </w:p>
    <w:tbl>
      <w:tblPr>
        <w:tblW w:w="10835" w:type="dxa"/>
        <w:tblInd w:w="-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1489"/>
        <w:gridCol w:w="1488"/>
        <w:gridCol w:w="1417"/>
        <w:gridCol w:w="1418"/>
        <w:gridCol w:w="1355"/>
        <w:gridCol w:w="1480"/>
      </w:tblGrid>
      <w:tr w:rsidR="00995C08" w:rsidRPr="00E76C09" w:rsidTr="00C239EB">
        <w:tc>
          <w:tcPr>
            <w:tcW w:w="2188" w:type="dxa"/>
          </w:tcPr>
          <w:p w:rsidR="00600AFA" w:rsidRPr="00E76C09" w:rsidRDefault="00600AFA" w:rsidP="00E76C09">
            <w:pPr>
              <w:spacing w:after="0" w:line="240" w:lineRule="auto"/>
              <w:rPr>
                <w:rFonts w:ascii="Verdana" w:hAnsi="Verdana"/>
                <w:noProof/>
                <w:sz w:val="20"/>
                <w:szCs w:val="20"/>
                <w:lang w:val="en-GB"/>
              </w:rPr>
            </w:pPr>
            <w:r w:rsidRPr="00E76C09">
              <w:rPr>
                <w:rFonts w:ascii="Verdana" w:hAnsi="Verdana"/>
                <w:noProof/>
                <w:sz w:val="20"/>
                <w:szCs w:val="20"/>
                <w:lang w:val="en-GB"/>
              </w:rPr>
              <w:t>Title</w:t>
            </w:r>
          </w:p>
        </w:tc>
        <w:tc>
          <w:tcPr>
            <w:tcW w:w="1489" w:type="dxa"/>
          </w:tcPr>
          <w:p w:rsidR="00600AFA" w:rsidRPr="00E76C09" w:rsidRDefault="00600AFA" w:rsidP="00E76C09">
            <w:pPr>
              <w:spacing w:after="0" w:line="240" w:lineRule="auto"/>
              <w:rPr>
                <w:rFonts w:ascii="Verdana" w:hAnsi="Verdana"/>
                <w:noProof/>
                <w:sz w:val="20"/>
                <w:szCs w:val="20"/>
                <w:lang w:val="en-GB"/>
              </w:rPr>
            </w:pPr>
            <w:r w:rsidRPr="00E76C09">
              <w:rPr>
                <w:rFonts w:ascii="Verdana" w:hAnsi="Verdana"/>
                <w:noProof/>
                <w:sz w:val="20"/>
                <w:szCs w:val="20"/>
                <w:lang w:val="en-GB"/>
              </w:rPr>
              <w:t>Author 1</w:t>
            </w:r>
          </w:p>
        </w:tc>
        <w:tc>
          <w:tcPr>
            <w:tcW w:w="1488" w:type="dxa"/>
          </w:tcPr>
          <w:p w:rsidR="00600AFA" w:rsidRPr="00E76C09" w:rsidRDefault="00600AFA" w:rsidP="00E76C09">
            <w:pPr>
              <w:spacing w:after="0" w:line="240" w:lineRule="auto"/>
              <w:rPr>
                <w:rFonts w:ascii="Verdana" w:hAnsi="Verdana"/>
                <w:noProof/>
                <w:sz w:val="20"/>
                <w:szCs w:val="20"/>
                <w:lang w:val="en-GB"/>
              </w:rPr>
            </w:pPr>
            <w:r w:rsidRPr="00E76C09">
              <w:rPr>
                <w:rFonts w:ascii="Verdana" w:hAnsi="Verdana"/>
                <w:noProof/>
                <w:sz w:val="20"/>
                <w:szCs w:val="20"/>
                <w:lang w:val="en-GB"/>
              </w:rPr>
              <w:t>Author 2</w:t>
            </w:r>
          </w:p>
        </w:tc>
        <w:tc>
          <w:tcPr>
            <w:tcW w:w="1417" w:type="dxa"/>
          </w:tcPr>
          <w:p w:rsidR="00600AFA" w:rsidRPr="00E76C09" w:rsidRDefault="00600AFA" w:rsidP="00E76C09">
            <w:pPr>
              <w:spacing w:after="0" w:line="240" w:lineRule="auto"/>
              <w:rPr>
                <w:rFonts w:ascii="Verdana" w:hAnsi="Verdana"/>
                <w:noProof/>
                <w:sz w:val="20"/>
                <w:szCs w:val="20"/>
                <w:lang w:val="en-GB"/>
              </w:rPr>
            </w:pPr>
            <w:r w:rsidRPr="00E76C09">
              <w:rPr>
                <w:rFonts w:ascii="Verdana" w:hAnsi="Verdana"/>
                <w:noProof/>
                <w:sz w:val="20"/>
                <w:szCs w:val="20"/>
                <w:lang w:val="en-GB"/>
              </w:rPr>
              <w:t xml:space="preserve">Authors </w:t>
            </w:r>
          </w:p>
          <w:p w:rsidR="00600AFA" w:rsidRPr="00E76C09" w:rsidRDefault="00600AFA" w:rsidP="00E76C09">
            <w:pPr>
              <w:spacing w:after="0" w:line="240" w:lineRule="auto"/>
              <w:rPr>
                <w:rFonts w:ascii="Verdana" w:hAnsi="Verdana"/>
                <w:noProof/>
                <w:sz w:val="20"/>
                <w:szCs w:val="20"/>
                <w:lang w:val="en-GB"/>
              </w:rPr>
            </w:pPr>
            <w:r w:rsidRPr="00E76C09">
              <w:rPr>
                <w:rFonts w:ascii="Verdana" w:hAnsi="Verdana"/>
                <w:noProof/>
                <w:sz w:val="20"/>
                <w:szCs w:val="20"/>
                <w:lang w:val="en-GB"/>
              </w:rPr>
              <w:t>3 &amp; 4</w:t>
            </w:r>
          </w:p>
        </w:tc>
        <w:tc>
          <w:tcPr>
            <w:tcW w:w="1418" w:type="dxa"/>
          </w:tcPr>
          <w:p w:rsidR="00600AFA" w:rsidRPr="00E76C09" w:rsidRDefault="00600AFA" w:rsidP="00E76C09">
            <w:pPr>
              <w:spacing w:after="0" w:line="240" w:lineRule="auto"/>
              <w:rPr>
                <w:rFonts w:ascii="Verdana" w:hAnsi="Verdana"/>
                <w:noProof/>
                <w:sz w:val="20"/>
                <w:szCs w:val="20"/>
                <w:lang w:val="en-GB"/>
              </w:rPr>
            </w:pPr>
            <w:r w:rsidRPr="00E76C09">
              <w:rPr>
                <w:rFonts w:ascii="Verdana" w:hAnsi="Verdana"/>
                <w:noProof/>
                <w:sz w:val="20"/>
                <w:szCs w:val="20"/>
                <w:lang w:val="en-GB"/>
              </w:rPr>
              <w:t>First Submitted</w:t>
            </w:r>
          </w:p>
        </w:tc>
        <w:tc>
          <w:tcPr>
            <w:tcW w:w="1355" w:type="dxa"/>
          </w:tcPr>
          <w:p w:rsidR="00600AFA" w:rsidRPr="00E76C09" w:rsidRDefault="00600AFA" w:rsidP="00E76C09">
            <w:pPr>
              <w:spacing w:after="0" w:line="240" w:lineRule="auto"/>
              <w:rPr>
                <w:rFonts w:ascii="Verdana" w:hAnsi="Verdana"/>
                <w:noProof/>
                <w:sz w:val="20"/>
                <w:szCs w:val="20"/>
                <w:lang w:val="en-GB"/>
              </w:rPr>
            </w:pPr>
            <w:r w:rsidRPr="00E76C09">
              <w:rPr>
                <w:rFonts w:ascii="Verdana" w:hAnsi="Verdana"/>
                <w:noProof/>
                <w:sz w:val="20"/>
                <w:szCs w:val="20"/>
                <w:lang w:val="en-GB"/>
              </w:rPr>
              <w:t xml:space="preserve">Revised Date </w:t>
            </w:r>
          </w:p>
        </w:tc>
        <w:tc>
          <w:tcPr>
            <w:tcW w:w="1480" w:type="dxa"/>
          </w:tcPr>
          <w:p w:rsidR="00600AFA" w:rsidRPr="00E76C09" w:rsidRDefault="00600AFA" w:rsidP="00E76C09">
            <w:pPr>
              <w:spacing w:after="0" w:line="240" w:lineRule="auto"/>
              <w:rPr>
                <w:rFonts w:ascii="Verdana" w:hAnsi="Verdana"/>
                <w:noProof/>
                <w:sz w:val="20"/>
                <w:szCs w:val="20"/>
                <w:lang w:val="en-GB"/>
              </w:rPr>
            </w:pPr>
            <w:r w:rsidRPr="00E76C09">
              <w:rPr>
                <w:rFonts w:ascii="Verdana" w:hAnsi="Verdana"/>
                <w:noProof/>
                <w:sz w:val="20"/>
                <w:szCs w:val="20"/>
                <w:lang w:val="en-GB"/>
              </w:rPr>
              <w:t>Final Acceptance</w:t>
            </w:r>
          </w:p>
        </w:tc>
      </w:tr>
      <w:tr w:rsidR="00E76C09" w:rsidRPr="00E76C09" w:rsidTr="0077126C">
        <w:tc>
          <w:tcPr>
            <w:tcW w:w="2188" w:type="dxa"/>
          </w:tcPr>
          <w:p w:rsidR="00E76C09" w:rsidRPr="00E76C09" w:rsidRDefault="00E76C09" w:rsidP="00E76C09">
            <w:pPr>
              <w:spacing w:after="0" w:line="240" w:lineRule="auto"/>
              <w:rPr>
                <w:rFonts w:ascii="Verdana" w:hAnsi="Verdana"/>
                <w:b/>
                <w:bCs/>
                <w:sz w:val="20"/>
                <w:szCs w:val="20"/>
                <w:lang w:val="en-US"/>
              </w:rPr>
            </w:pPr>
            <w:r w:rsidRPr="00E76C09">
              <w:rPr>
                <w:rFonts w:ascii="Verdana" w:hAnsi="Verdana"/>
                <w:sz w:val="20"/>
                <w:szCs w:val="20"/>
                <w:lang w:val="en-GB"/>
              </w:rPr>
              <w:t>Shoppers: conceptualizing the path-to-purchase framework</w:t>
            </w:r>
            <w:r w:rsidRPr="00E76C09">
              <w:rPr>
                <w:rFonts w:ascii="Verdana" w:hAnsi="Verdana"/>
                <w:b/>
                <w:bCs/>
                <w:sz w:val="20"/>
                <w:szCs w:val="20"/>
                <w:lang w:val="en-GB"/>
              </w:rPr>
              <w:t xml:space="preserve"> </w:t>
            </w:r>
            <w:r>
              <w:rPr>
                <w:rFonts w:ascii="Verdana" w:hAnsi="Verdana"/>
                <w:b/>
                <w:bCs/>
                <w:sz w:val="20"/>
                <w:szCs w:val="20"/>
                <w:lang w:val="en-GB"/>
              </w:rPr>
              <w:t xml:space="preserve">(See </w:t>
            </w:r>
            <w:r w:rsidRPr="00E76C09">
              <w:rPr>
                <w:rFonts w:ascii="Verdana" w:hAnsi="Verdana"/>
                <w:b/>
                <w:bCs/>
                <w:sz w:val="20"/>
                <w:szCs w:val="20"/>
                <w:lang w:val="en-US"/>
              </w:rPr>
              <w:t>IJRDM-09-2015-0148.R4</w:t>
            </w:r>
            <w:r>
              <w:rPr>
                <w:rFonts w:ascii="Verdana" w:hAnsi="Verdana"/>
                <w:b/>
                <w:bCs/>
                <w:sz w:val="20"/>
                <w:szCs w:val="20"/>
                <w:lang w:val="en-US"/>
              </w:rPr>
              <w:t>)</w:t>
            </w:r>
          </w:p>
        </w:tc>
        <w:tc>
          <w:tcPr>
            <w:tcW w:w="1489" w:type="dxa"/>
          </w:tcPr>
          <w:p w:rsidR="00E76C09" w:rsidRPr="00E76C09" w:rsidRDefault="00E76C09" w:rsidP="00E76C09">
            <w:pPr>
              <w:spacing w:after="0" w:line="240" w:lineRule="auto"/>
              <w:rPr>
                <w:rFonts w:ascii="Verdana" w:hAnsi="Verdana" w:cs="Arial"/>
                <w:sz w:val="20"/>
                <w:szCs w:val="20"/>
                <w:lang w:val="en-GB"/>
              </w:rPr>
            </w:pPr>
            <w:r w:rsidRPr="00E76C09">
              <w:rPr>
                <w:rFonts w:ascii="Verdana" w:hAnsi="Verdana"/>
                <w:sz w:val="20"/>
                <w:szCs w:val="20"/>
                <w:lang w:val="en-GB"/>
              </w:rPr>
              <w:t>Robert Paul Jones</w:t>
            </w:r>
          </w:p>
        </w:tc>
        <w:tc>
          <w:tcPr>
            <w:tcW w:w="1488" w:type="dxa"/>
          </w:tcPr>
          <w:p w:rsidR="00E76C09" w:rsidRPr="00E76C09" w:rsidRDefault="00E76C09" w:rsidP="00E76C09">
            <w:pPr>
              <w:spacing w:after="0" w:line="240" w:lineRule="auto"/>
              <w:rPr>
                <w:rFonts w:ascii="Verdana" w:hAnsi="Verdana" w:cs="Arial"/>
                <w:sz w:val="20"/>
                <w:szCs w:val="20"/>
                <w:lang w:val="en-GB"/>
              </w:rPr>
            </w:pPr>
            <w:r w:rsidRPr="00E76C09">
              <w:rPr>
                <w:rFonts w:ascii="Verdana" w:hAnsi="Verdana"/>
                <w:sz w:val="20"/>
                <w:szCs w:val="20"/>
                <w:lang w:val="en-GB"/>
              </w:rPr>
              <w:t>Rodney C. Runyan</w:t>
            </w:r>
          </w:p>
        </w:tc>
        <w:tc>
          <w:tcPr>
            <w:tcW w:w="1417" w:type="dxa"/>
          </w:tcPr>
          <w:p w:rsidR="00E76C09" w:rsidRPr="00E76C09" w:rsidRDefault="00E76C09" w:rsidP="00E76C09">
            <w:pPr>
              <w:spacing w:after="0" w:line="240" w:lineRule="auto"/>
              <w:rPr>
                <w:rFonts w:ascii="Verdana" w:hAnsi="Verdana"/>
                <w:sz w:val="20"/>
                <w:szCs w:val="20"/>
                <w:lang w:val="en-GB"/>
              </w:rPr>
            </w:pPr>
          </w:p>
        </w:tc>
        <w:tc>
          <w:tcPr>
            <w:tcW w:w="1418" w:type="dxa"/>
          </w:tcPr>
          <w:p w:rsidR="00E76C09" w:rsidRPr="00E76C09" w:rsidRDefault="00E76C09" w:rsidP="00E76C09">
            <w:pPr>
              <w:spacing w:after="0" w:line="240" w:lineRule="auto"/>
              <w:rPr>
                <w:rFonts w:ascii="Verdana" w:hAnsi="Verdana"/>
                <w:sz w:val="20"/>
                <w:szCs w:val="20"/>
                <w:lang w:val="en-GB"/>
              </w:rPr>
            </w:pPr>
            <w:r w:rsidRPr="00E76C09">
              <w:rPr>
                <w:rFonts w:ascii="Verdana" w:hAnsi="Verdana"/>
                <w:sz w:val="20"/>
                <w:szCs w:val="20"/>
                <w:lang w:val="en-GB"/>
              </w:rPr>
              <w:t>20</w:t>
            </w:r>
            <w:r w:rsidRPr="00E76C09">
              <w:rPr>
                <w:rFonts w:ascii="Verdana" w:hAnsi="Verdana"/>
                <w:sz w:val="20"/>
                <w:szCs w:val="20"/>
                <w:vertAlign w:val="superscript"/>
                <w:lang w:val="en-GB"/>
              </w:rPr>
              <w:t>th</w:t>
            </w:r>
            <w:r w:rsidRPr="00E76C09">
              <w:rPr>
                <w:rFonts w:ascii="Verdana" w:hAnsi="Verdana"/>
                <w:sz w:val="20"/>
                <w:szCs w:val="20"/>
                <w:lang w:val="en-GB"/>
              </w:rPr>
              <w:t xml:space="preserve"> September 2015</w:t>
            </w:r>
          </w:p>
        </w:tc>
        <w:tc>
          <w:tcPr>
            <w:tcW w:w="1355" w:type="dxa"/>
          </w:tcPr>
          <w:p w:rsidR="00E76C09" w:rsidRPr="00E76C09" w:rsidRDefault="00E76C09" w:rsidP="00E76C09">
            <w:pPr>
              <w:spacing w:after="0" w:line="240" w:lineRule="auto"/>
              <w:rPr>
                <w:rFonts w:ascii="Verdana" w:hAnsi="Verdana"/>
                <w:noProof/>
                <w:sz w:val="20"/>
                <w:szCs w:val="20"/>
                <w:lang w:val="en-GB"/>
              </w:rPr>
            </w:pPr>
            <w:r w:rsidRPr="00E76C09">
              <w:rPr>
                <w:rFonts w:ascii="Verdana" w:hAnsi="Verdana"/>
                <w:sz w:val="20"/>
                <w:szCs w:val="20"/>
                <w:lang w:val="en-GB"/>
              </w:rPr>
              <w:t>11</w:t>
            </w:r>
            <w:r w:rsidRPr="00E76C09">
              <w:rPr>
                <w:rFonts w:ascii="Verdana" w:hAnsi="Verdana"/>
                <w:sz w:val="20"/>
                <w:szCs w:val="20"/>
                <w:vertAlign w:val="superscript"/>
                <w:lang w:val="en-GB"/>
              </w:rPr>
              <w:t>th</w:t>
            </w:r>
            <w:r w:rsidRPr="00E76C09">
              <w:rPr>
                <w:rFonts w:ascii="Verdana" w:hAnsi="Verdana"/>
                <w:sz w:val="20"/>
                <w:szCs w:val="20"/>
                <w:lang w:val="en-GB"/>
              </w:rPr>
              <w:t xml:space="preserve"> Apr</w:t>
            </w:r>
            <w:r w:rsidRPr="00E76C09">
              <w:rPr>
                <w:rFonts w:ascii="Verdana" w:hAnsi="Verdana"/>
                <w:sz w:val="20"/>
                <w:szCs w:val="20"/>
                <w:lang w:val="en-GB"/>
              </w:rPr>
              <w:t>il</w:t>
            </w:r>
            <w:r w:rsidRPr="00E76C09">
              <w:rPr>
                <w:rFonts w:ascii="Verdana" w:hAnsi="Verdana"/>
                <w:sz w:val="20"/>
                <w:szCs w:val="20"/>
                <w:lang w:val="en-GB"/>
              </w:rPr>
              <w:t xml:space="preserve"> 2016</w:t>
            </w:r>
          </w:p>
        </w:tc>
        <w:tc>
          <w:tcPr>
            <w:tcW w:w="1480" w:type="dxa"/>
          </w:tcPr>
          <w:p w:rsidR="00E76C09" w:rsidRPr="00E76C09" w:rsidRDefault="00E76C09" w:rsidP="00E76C09">
            <w:pPr>
              <w:spacing w:after="0" w:line="240" w:lineRule="auto"/>
              <w:rPr>
                <w:rFonts w:ascii="Verdana" w:hAnsi="Verdana"/>
                <w:sz w:val="20"/>
                <w:szCs w:val="20"/>
                <w:lang w:val="en-GB"/>
              </w:rPr>
            </w:pPr>
            <w:r w:rsidRPr="00E76C09">
              <w:rPr>
                <w:rFonts w:ascii="Verdana" w:hAnsi="Verdana"/>
                <w:sz w:val="20"/>
                <w:szCs w:val="20"/>
                <w:lang w:val="en-GB"/>
              </w:rPr>
              <w:t>27</w:t>
            </w:r>
            <w:r w:rsidRPr="00E76C09">
              <w:rPr>
                <w:rFonts w:ascii="Verdana" w:hAnsi="Verdana"/>
                <w:sz w:val="20"/>
                <w:szCs w:val="20"/>
                <w:vertAlign w:val="superscript"/>
                <w:lang w:val="en-GB"/>
              </w:rPr>
              <w:t>th</w:t>
            </w:r>
            <w:r w:rsidRPr="00E76C09">
              <w:rPr>
                <w:rFonts w:ascii="Verdana" w:hAnsi="Verdana"/>
                <w:sz w:val="20"/>
                <w:szCs w:val="20"/>
                <w:lang w:val="en-GB"/>
              </w:rPr>
              <w:t xml:space="preserve"> May 2016</w:t>
            </w:r>
          </w:p>
        </w:tc>
      </w:tr>
      <w:tr w:rsidR="00E76C09" w:rsidRPr="00E76C09" w:rsidTr="001E366E">
        <w:tc>
          <w:tcPr>
            <w:tcW w:w="2188" w:type="dxa"/>
          </w:tcPr>
          <w:p w:rsidR="00E76C09" w:rsidRPr="00793580" w:rsidRDefault="00E76C09" w:rsidP="00E76C09">
            <w:pPr>
              <w:spacing w:after="0" w:line="240" w:lineRule="auto"/>
              <w:rPr>
                <w:rFonts w:ascii="Verdana" w:hAnsi="Verdana"/>
                <w:sz w:val="20"/>
                <w:szCs w:val="20"/>
                <w:lang w:val="en-US"/>
              </w:rPr>
            </w:pPr>
            <w:r w:rsidRPr="00E76C09">
              <w:rPr>
                <w:rFonts w:ascii="Verdana" w:hAnsi="Verdana"/>
                <w:sz w:val="20"/>
                <w:szCs w:val="20"/>
                <w:lang w:val="en-GB"/>
              </w:rPr>
              <w:t xml:space="preserve">Gender and age differences in shoppers’ loyalty </w:t>
            </w:r>
            <w:r w:rsidR="00793580" w:rsidRPr="00793580">
              <w:rPr>
                <w:rFonts w:ascii="Verdana" w:hAnsi="Verdana"/>
                <w:b/>
                <w:sz w:val="20"/>
                <w:szCs w:val="20"/>
                <w:lang w:val="en-GB"/>
              </w:rPr>
              <w:t xml:space="preserve">(See </w:t>
            </w:r>
            <w:r w:rsidR="00793580" w:rsidRPr="00793580">
              <w:rPr>
                <w:rFonts w:ascii="Verdana" w:hAnsi="Verdana"/>
                <w:b/>
                <w:bCs/>
                <w:sz w:val="20"/>
                <w:szCs w:val="20"/>
                <w:lang w:val="en-US"/>
              </w:rPr>
              <w:t>IJRDM-01-2016-0002.R3</w:t>
            </w:r>
            <w:r w:rsidR="00793580" w:rsidRPr="00793580">
              <w:rPr>
                <w:rFonts w:ascii="Verdana" w:hAnsi="Verdana"/>
                <w:b/>
                <w:sz w:val="20"/>
                <w:szCs w:val="20"/>
                <w:lang w:val="en-US"/>
              </w:rPr>
              <w:t>)</w:t>
            </w:r>
          </w:p>
        </w:tc>
        <w:tc>
          <w:tcPr>
            <w:tcW w:w="1489" w:type="dxa"/>
          </w:tcPr>
          <w:p w:rsidR="00E76C09" w:rsidRPr="00E76C09" w:rsidRDefault="00E76C09" w:rsidP="00E76C09">
            <w:pPr>
              <w:spacing w:after="0" w:line="240" w:lineRule="auto"/>
              <w:rPr>
                <w:rFonts w:ascii="Verdana" w:hAnsi="Verdana" w:cs="Arial"/>
                <w:sz w:val="20"/>
                <w:szCs w:val="20"/>
                <w:lang w:val="en-GB"/>
              </w:rPr>
            </w:pPr>
            <w:r w:rsidRPr="00E76C09">
              <w:rPr>
                <w:rFonts w:ascii="Verdana" w:hAnsi="Verdana" w:cs="Arial"/>
                <w:sz w:val="20"/>
                <w:szCs w:val="20"/>
                <w:lang w:val="en-GB"/>
              </w:rPr>
              <w:t xml:space="preserve">Anne-Françoise </w:t>
            </w:r>
            <w:r w:rsidR="00793580" w:rsidRPr="00793580">
              <w:rPr>
                <w:rFonts w:ascii="Verdana" w:hAnsi="Verdana" w:cs="Arial"/>
                <w:sz w:val="20"/>
                <w:szCs w:val="20"/>
              </w:rPr>
              <w:t>Audrain-Pontevia</w:t>
            </w:r>
          </w:p>
        </w:tc>
        <w:tc>
          <w:tcPr>
            <w:tcW w:w="1488" w:type="dxa"/>
          </w:tcPr>
          <w:p w:rsidR="00E76C09" w:rsidRPr="00E76C09" w:rsidRDefault="00E76C09" w:rsidP="00E76C09">
            <w:pPr>
              <w:spacing w:after="0" w:line="240" w:lineRule="auto"/>
              <w:rPr>
                <w:rFonts w:ascii="Verdana" w:hAnsi="Verdana" w:cs="Arial"/>
                <w:sz w:val="20"/>
                <w:szCs w:val="20"/>
                <w:lang w:val="en-GB"/>
              </w:rPr>
            </w:pPr>
            <w:r w:rsidRPr="00E76C09">
              <w:rPr>
                <w:rFonts w:ascii="Verdana" w:hAnsi="Verdana" w:cs="Arial"/>
                <w:bCs/>
                <w:sz w:val="20"/>
                <w:szCs w:val="20"/>
                <w:lang w:val="en-GB"/>
              </w:rPr>
              <w:t xml:space="preserve">Marc </w:t>
            </w:r>
            <w:proofErr w:type="spellStart"/>
            <w:r w:rsidRPr="00E76C09">
              <w:rPr>
                <w:rFonts w:ascii="Verdana" w:hAnsi="Verdana" w:cs="Arial"/>
                <w:bCs/>
                <w:sz w:val="20"/>
                <w:szCs w:val="20"/>
                <w:lang w:val="en-GB"/>
              </w:rPr>
              <w:t>Vanhuele</w:t>
            </w:r>
            <w:proofErr w:type="spellEnd"/>
            <w:r w:rsidRPr="00E76C09">
              <w:rPr>
                <w:rFonts w:ascii="Verdana" w:hAnsi="Verdana" w:cs="Arial"/>
                <w:sz w:val="20"/>
                <w:szCs w:val="20"/>
                <w:lang w:val="en-GB"/>
              </w:rPr>
              <w:t> </w:t>
            </w:r>
          </w:p>
        </w:tc>
        <w:tc>
          <w:tcPr>
            <w:tcW w:w="1417" w:type="dxa"/>
          </w:tcPr>
          <w:p w:rsidR="00E76C09" w:rsidRPr="00E76C09" w:rsidRDefault="00E76C09" w:rsidP="00E76C09">
            <w:pPr>
              <w:spacing w:after="0" w:line="240" w:lineRule="auto"/>
              <w:rPr>
                <w:rFonts w:ascii="Verdana" w:hAnsi="Verdana"/>
                <w:sz w:val="20"/>
                <w:szCs w:val="20"/>
                <w:lang w:val="en-GB"/>
              </w:rPr>
            </w:pPr>
          </w:p>
        </w:tc>
        <w:tc>
          <w:tcPr>
            <w:tcW w:w="1418" w:type="dxa"/>
          </w:tcPr>
          <w:p w:rsidR="00E76C09" w:rsidRPr="00E76C09" w:rsidRDefault="00E76C09" w:rsidP="00E76C09">
            <w:pPr>
              <w:spacing w:after="0" w:line="240" w:lineRule="auto"/>
              <w:rPr>
                <w:rFonts w:ascii="Verdana" w:hAnsi="Verdana"/>
                <w:sz w:val="20"/>
                <w:szCs w:val="20"/>
                <w:lang w:val="en-GB"/>
              </w:rPr>
            </w:pPr>
            <w:r w:rsidRPr="00E76C09">
              <w:rPr>
                <w:rFonts w:ascii="Verdana" w:hAnsi="Verdana"/>
                <w:sz w:val="20"/>
                <w:szCs w:val="20"/>
                <w:lang w:val="en-GB"/>
              </w:rPr>
              <w:t>7</w:t>
            </w:r>
            <w:r w:rsidRPr="00E76C09">
              <w:rPr>
                <w:rFonts w:ascii="Verdana" w:hAnsi="Verdana"/>
                <w:sz w:val="20"/>
                <w:szCs w:val="20"/>
                <w:vertAlign w:val="superscript"/>
                <w:lang w:val="en-GB"/>
              </w:rPr>
              <w:t>th</w:t>
            </w:r>
            <w:r w:rsidRPr="00E76C09">
              <w:rPr>
                <w:rFonts w:ascii="Verdana" w:hAnsi="Verdana"/>
                <w:sz w:val="20"/>
                <w:szCs w:val="20"/>
                <w:lang w:val="en-GB"/>
              </w:rPr>
              <w:t xml:space="preserve"> January 2016</w:t>
            </w:r>
          </w:p>
        </w:tc>
        <w:tc>
          <w:tcPr>
            <w:tcW w:w="1355" w:type="dxa"/>
          </w:tcPr>
          <w:p w:rsidR="00E76C09" w:rsidRPr="00E76C09" w:rsidRDefault="00E76C09" w:rsidP="00E76C09">
            <w:pPr>
              <w:spacing w:after="0" w:line="240" w:lineRule="auto"/>
              <w:rPr>
                <w:rFonts w:ascii="Verdana" w:hAnsi="Verdana"/>
                <w:noProof/>
                <w:sz w:val="20"/>
                <w:szCs w:val="20"/>
                <w:lang w:val="en-GB"/>
              </w:rPr>
            </w:pPr>
            <w:r w:rsidRPr="00E76C09">
              <w:rPr>
                <w:rFonts w:ascii="Verdana" w:hAnsi="Verdana"/>
                <w:sz w:val="20"/>
                <w:szCs w:val="20"/>
                <w:lang w:val="en-GB"/>
              </w:rPr>
              <w:t>4</w:t>
            </w:r>
            <w:r w:rsidRPr="00E76C09">
              <w:rPr>
                <w:rFonts w:ascii="Verdana" w:hAnsi="Verdana"/>
                <w:sz w:val="20"/>
                <w:szCs w:val="20"/>
                <w:vertAlign w:val="superscript"/>
                <w:lang w:val="en-GB"/>
              </w:rPr>
              <w:t>th</w:t>
            </w:r>
            <w:r w:rsidRPr="00E76C09">
              <w:rPr>
                <w:rFonts w:ascii="Verdana" w:hAnsi="Verdana"/>
                <w:sz w:val="20"/>
                <w:szCs w:val="20"/>
                <w:lang w:val="en-GB"/>
              </w:rPr>
              <w:t xml:space="preserve"> June 2016</w:t>
            </w:r>
          </w:p>
        </w:tc>
        <w:tc>
          <w:tcPr>
            <w:tcW w:w="1480" w:type="dxa"/>
          </w:tcPr>
          <w:p w:rsidR="00E76C09" w:rsidRPr="00E76C09" w:rsidRDefault="00E76C09" w:rsidP="00E76C09">
            <w:pPr>
              <w:spacing w:after="0" w:line="240" w:lineRule="auto"/>
              <w:rPr>
                <w:rFonts w:ascii="Verdana" w:hAnsi="Verdana"/>
                <w:sz w:val="20"/>
                <w:szCs w:val="20"/>
                <w:lang w:val="en-GB"/>
              </w:rPr>
            </w:pPr>
            <w:r w:rsidRPr="00E76C09">
              <w:rPr>
                <w:rFonts w:ascii="Verdana" w:hAnsi="Verdana"/>
                <w:sz w:val="20"/>
                <w:szCs w:val="20"/>
                <w:lang w:val="en-GB"/>
              </w:rPr>
              <w:t>6</w:t>
            </w:r>
            <w:r w:rsidRPr="00E76C09">
              <w:rPr>
                <w:rFonts w:ascii="Verdana" w:hAnsi="Verdana"/>
                <w:sz w:val="20"/>
                <w:szCs w:val="20"/>
                <w:vertAlign w:val="superscript"/>
                <w:lang w:val="en-GB"/>
              </w:rPr>
              <w:t>th</w:t>
            </w:r>
            <w:r w:rsidRPr="00E76C09">
              <w:rPr>
                <w:rFonts w:ascii="Verdana" w:hAnsi="Verdana"/>
                <w:sz w:val="20"/>
                <w:szCs w:val="20"/>
                <w:lang w:val="en-GB"/>
              </w:rPr>
              <w:t xml:space="preserve"> June 2016</w:t>
            </w:r>
          </w:p>
        </w:tc>
      </w:tr>
      <w:tr w:rsidR="00E76C09" w:rsidRPr="00E76C09" w:rsidTr="00B11622">
        <w:tc>
          <w:tcPr>
            <w:tcW w:w="2188" w:type="dxa"/>
          </w:tcPr>
          <w:p w:rsidR="00E76C09" w:rsidRPr="00E76C09" w:rsidRDefault="00E76C09" w:rsidP="00E76C09">
            <w:pPr>
              <w:spacing w:after="0" w:line="240" w:lineRule="auto"/>
              <w:rPr>
                <w:rFonts w:ascii="Verdana" w:hAnsi="Verdana"/>
                <w:bCs/>
                <w:sz w:val="20"/>
                <w:szCs w:val="20"/>
                <w:lang w:val="en-GB"/>
              </w:rPr>
            </w:pPr>
            <w:r w:rsidRPr="00E76C09">
              <w:rPr>
                <w:rFonts w:ascii="Verdana" w:hAnsi="Verdana"/>
                <w:bCs/>
                <w:sz w:val="20"/>
                <w:szCs w:val="20"/>
                <w:lang w:val="en-GB"/>
              </w:rPr>
              <w:t xml:space="preserve">Website customer engagement: </w:t>
            </w:r>
          </w:p>
          <w:p w:rsidR="00E76C09" w:rsidRPr="00E76C09" w:rsidRDefault="00E76C09" w:rsidP="00F53789">
            <w:pPr>
              <w:spacing w:after="0" w:line="240" w:lineRule="auto"/>
              <w:rPr>
                <w:rFonts w:ascii="Verdana" w:hAnsi="Verdana"/>
                <w:b/>
                <w:sz w:val="20"/>
                <w:szCs w:val="20"/>
                <w:lang w:val="en-GB"/>
              </w:rPr>
            </w:pPr>
            <w:r w:rsidRPr="00E76C09">
              <w:rPr>
                <w:rFonts w:ascii="Verdana" w:hAnsi="Verdana"/>
                <w:bCs/>
                <w:sz w:val="20"/>
                <w:szCs w:val="20"/>
                <w:lang w:val="en-GB"/>
              </w:rPr>
              <w:t xml:space="preserve">Conceptualisation, scale development, and empirical validation </w:t>
            </w:r>
            <w:r w:rsidR="00F53789">
              <w:rPr>
                <w:rFonts w:ascii="Verdana" w:hAnsi="Verdana"/>
                <w:b/>
                <w:bCs/>
                <w:sz w:val="20"/>
                <w:szCs w:val="20"/>
                <w:lang w:val="en-GB"/>
              </w:rPr>
              <w:t xml:space="preserve">(See </w:t>
            </w:r>
            <w:r w:rsidR="00F53789" w:rsidRPr="00F53789">
              <w:rPr>
                <w:rFonts w:ascii="Verdana" w:hAnsi="Verdana"/>
                <w:b/>
                <w:bCs/>
                <w:sz w:val="20"/>
                <w:szCs w:val="20"/>
              </w:rPr>
              <w:t>IJRDM-08-2015-0124.R4</w:t>
            </w:r>
            <w:r w:rsidR="00F53789">
              <w:rPr>
                <w:rFonts w:ascii="Verdana" w:hAnsi="Verdana"/>
                <w:b/>
                <w:bCs/>
                <w:sz w:val="20"/>
                <w:szCs w:val="20"/>
                <w:lang w:val="en-GB"/>
              </w:rPr>
              <w:t>)</w:t>
            </w:r>
          </w:p>
        </w:tc>
        <w:tc>
          <w:tcPr>
            <w:tcW w:w="1489" w:type="dxa"/>
          </w:tcPr>
          <w:p w:rsidR="00E76C09" w:rsidRPr="00E76C09" w:rsidRDefault="00E76C09" w:rsidP="00E76C09">
            <w:pPr>
              <w:spacing w:after="0" w:line="240" w:lineRule="auto"/>
              <w:rPr>
                <w:rFonts w:ascii="Verdana" w:hAnsi="Verdana" w:cs="Arial"/>
                <w:sz w:val="20"/>
                <w:szCs w:val="20"/>
                <w:lang w:val="en-GB"/>
              </w:rPr>
            </w:pPr>
            <w:r w:rsidRPr="00E76C09">
              <w:rPr>
                <w:rFonts w:ascii="Verdana" w:hAnsi="Verdana" w:cs="Arial"/>
                <w:sz w:val="20"/>
                <w:szCs w:val="20"/>
                <w:lang w:val="en-GB"/>
              </w:rPr>
              <w:t xml:space="preserve">Catherine </w:t>
            </w:r>
            <w:proofErr w:type="spellStart"/>
            <w:r w:rsidRPr="00E76C09">
              <w:rPr>
                <w:rFonts w:ascii="Verdana" w:hAnsi="Verdana" w:cs="Arial"/>
                <w:sz w:val="20"/>
                <w:szCs w:val="20"/>
                <w:lang w:val="en-GB"/>
              </w:rPr>
              <w:t>Demangeot</w:t>
            </w:r>
            <w:proofErr w:type="spellEnd"/>
            <w:r w:rsidRPr="00E76C09">
              <w:rPr>
                <w:rFonts w:ascii="Verdana" w:hAnsi="Verdana" w:cs="Arial"/>
                <w:sz w:val="20"/>
                <w:szCs w:val="20"/>
                <w:lang w:val="en-GB"/>
              </w:rPr>
              <w:t xml:space="preserve"> </w:t>
            </w:r>
          </w:p>
        </w:tc>
        <w:tc>
          <w:tcPr>
            <w:tcW w:w="1488" w:type="dxa"/>
          </w:tcPr>
          <w:p w:rsidR="00E76C09" w:rsidRPr="00E76C09" w:rsidRDefault="00E76C09" w:rsidP="00E76C09">
            <w:pPr>
              <w:spacing w:after="0" w:line="240" w:lineRule="auto"/>
              <w:rPr>
                <w:rFonts w:ascii="Verdana" w:hAnsi="Verdana" w:cs="Arial"/>
                <w:sz w:val="20"/>
                <w:szCs w:val="20"/>
                <w:lang w:val="en-GB"/>
              </w:rPr>
            </w:pPr>
            <w:r w:rsidRPr="00E76C09">
              <w:rPr>
                <w:rFonts w:ascii="Verdana" w:hAnsi="Verdana" w:cs="Arial"/>
                <w:sz w:val="20"/>
                <w:szCs w:val="20"/>
                <w:lang w:val="en-GB"/>
              </w:rPr>
              <w:t>Amanda Broderick</w:t>
            </w:r>
          </w:p>
        </w:tc>
        <w:tc>
          <w:tcPr>
            <w:tcW w:w="1417" w:type="dxa"/>
          </w:tcPr>
          <w:p w:rsidR="00E76C09" w:rsidRPr="00E76C09" w:rsidRDefault="00E76C09" w:rsidP="00E76C09">
            <w:pPr>
              <w:spacing w:after="0" w:line="240" w:lineRule="auto"/>
              <w:rPr>
                <w:rFonts w:ascii="Verdana" w:hAnsi="Verdana"/>
                <w:sz w:val="20"/>
                <w:szCs w:val="20"/>
                <w:lang w:val="en-GB"/>
              </w:rPr>
            </w:pPr>
          </w:p>
        </w:tc>
        <w:tc>
          <w:tcPr>
            <w:tcW w:w="1418" w:type="dxa"/>
          </w:tcPr>
          <w:p w:rsidR="00E76C09" w:rsidRPr="00E76C09" w:rsidRDefault="00E76C09" w:rsidP="00E76C09">
            <w:pPr>
              <w:spacing w:after="0" w:line="240" w:lineRule="auto"/>
              <w:rPr>
                <w:rFonts w:ascii="Verdana" w:hAnsi="Verdana"/>
                <w:sz w:val="20"/>
                <w:szCs w:val="20"/>
                <w:lang w:val="en-GB"/>
              </w:rPr>
            </w:pPr>
            <w:r w:rsidRPr="00E76C09">
              <w:rPr>
                <w:rFonts w:ascii="Verdana" w:hAnsi="Verdana"/>
                <w:sz w:val="20"/>
                <w:szCs w:val="20"/>
                <w:lang w:val="en-GB"/>
              </w:rPr>
              <w:t>20</w:t>
            </w:r>
            <w:r w:rsidRPr="00E76C09">
              <w:rPr>
                <w:rFonts w:ascii="Verdana" w:hAnsi="Verdana"/>
                <w:sz w:val="20"/>
                <w:szCs w:val="20"/>
                <w:vertAlign w:val="superscript"/>
                <w:lang w:val="en-GB"/>
              </w:rPr>
              <w:t>th</w:t>
            </w:r>
            <w:r w:rsidRPr="00E76C09">
              <w:rPr>
                <w:rFonts w:ascii="Verdana" w:hAnsi="Verdana"/>
                <w:sz w:val="20"/>
                <w:szCs w:val="20"/>
                <w:lang w:val="en-GB"/>
              </w:rPr>
              <w:t xml:space="preserve"> August 2015</w:t>
            </w:r>
          </w:p>
        </w:tc>
        <w:tc>
          <w:tcPr>
            <w:tcW w:w="1355" w:type="dxa"/>
          </w:tcPr>
          <w:p w:rsidR="00E76C09" w:rsidRPr="00E76C09" w:rsidRDefault="00E76C09" w:rsidP="00E76C09">
            <w:pPr>
              <w:spacing w:after="0" w:line="240" w:lineRule="auto"/>
              <w:rPr>
                <w:rFonts w:ascii="Verdana" w:hAnsi="Verdana"/>
                <w:sz w:val="20"/>
                <w:szCs w:val="20"/>
                <w:lang w:val="en-GB"/>
              </w:rPr>
            </w:pPr>
            <w:r w:rsidRPr="00E76C09">
              <w:rPr>
                <w:rFonts w:ascii="Verdana" w:hAnsi="Verdana"/>
                <w:sz w:val="20"/>
                <w:szCs w:val="20"/>
                <w:lang w:val="en-GB"/>
              </w:rPr>
              <w:t>31</w:t>
            </w:r>
            <w:r w:rsidRPr="00E76C09">
              <w:rPr>
                <w:rFonts w:ascii="Verdana" w:hAnsi="Verdana"/>
                <w:sz w:val="20"/>
                <w:szCs w:val="20"/>
                <w:vertAlign w:val="superscript"/>
                <w:lang w:val="en-GB"/>
              </w:rPr>
              <w:t>st</w:t>
            </w:r>
            <w:r w:rsidRPr="00E76C09">
              <w:rPr>
                <w:rFonts w:ascii="Verdana" w:hAnsi="Verdana"/>
                <w:sz w:val="20"/>
                <w:szCs w:val="20"/>
                <w:lang w:val="en-GB"/>
              </w:rPr>
              <w:t xml:space="preserve"> May 2016</w:t>
            </w:r>
          </w:p>
          <w:p w:rsidR="00E76C09" w:rsidRPr="00E76C09" w:rsidRDefault="00E76C09" w:rsidP="00E76C09">
            <w:pPr>
              <w:spacing w:after="0" w:line="240" w:lineRule="auto"/>
              <w:rPr>
                <w:rFonts w:ascii="Verdana" w:hAnsi="Verdana"/>
                <w:noProof/>
                <w:sz w:val="20"/>
                <w:szCs w:val="20"/>
                <w:lang w:val="en-GB"/>
              </w:rPr>
            </w:pPr>
          </w:p>
        </w:tc>
        <w:tc>
          <w:tcPr>
            <w:tcW w:w="1480" w:type="dxa"/>
          </w:tcPr>
          <w:p w:rsidR="00E76C09" w:rsidRPr="00E76C09" w:rsidRDefault="00E76C09" w:rsidP="00E76C09">
            <w:pPr>
              <w:spacing w:after="0" w:line="240" w:lineRule="auto"/>
              <w:rPr>
                <w:rFonts w:ascii="Verdana" w:hAnsi="Verdana"/>
                <w:sz w:val="20"/>
                <w:szCs w:val="20"/>
                <w:lang w:val="en-GB"/>
              </w:rPr>
            </w:pPr>
            <w:r w:rsidRPr="00E76C09">
              <w:rPr>
                <w:rFonts w:ascii="Verdana" w:hAnsi="Verdana"/>
                <w:sz w:val="20"/>
                <w:szCs w:val="20"/>
                <w:lang w:val="en-GB"/>
              </w:rPr>
              <w:t>6</w:t>
            </w:r>
            <w:r w:rsidRPr="00E76C09">
              <w:rPr>
                <w:rFonts w:ascii="Verdana" w:hAnsi="Verdana"/>
                <w:sz w:val="20"/>
                <w:szCs w:val="20"/>
                <w:vertAlign w:val="superscript"/>
                <w:lang w:val="en-GB"/>
              </w:rPr>
              <w:t>th</w:t>
            </w:r>
            <w:r w:rsidRPr="00E76C09">
              <w:rPr>
                <w:rFonts w:ascii="Verdana" w:hAnsi="Verdana"/>
                <w:sz w:val="20"/>
                <w:szCs w:val="20"/>
                <w:lang w:val="en-GB"/>
              </w:rPr>
              <w:t xml:space="preserve"> June 2016</w:t>
            </w:r>
          </w:p>
        </w:tc>
      </w:tr>
      <w:tr w:rsidR="00E76C09" w:rsidRPr="00E76C09" w:rsidTr="00370172">
        <w:tc>
          <w:tcPr>
            <w:tcW w:w="2188" w:type="dxa"/>
          </w:tcPr>
          <w:p w:rsidR="00E76C09" w:rsidRPr="00F53789" w:rsidRDefault="00E76C09" w:rsidP="00F53789">
            <w:pPr>
              <w:spacing w:after="0" w:line="240" w:lineRule="auto"/>
              <w:rPr>
                <w:rFonts w:ascii="Verdana" w:hAnsi="Verdana"/>
                <w:sz w:val="20"/>
                <w:szCs w:val="20"/>
                <w:lang w:val="en-US"/>
              </w:rPr>
            </w:pPr>
            <w:r w:rsidRPr="00E76C09">
              <w:rPr>
                <w:rFonts w:ascii="Verdana" w:hAnsi="Verdana"/>
                <w:sz w:val="20"/>
                <w:szCs w:val="20"/>
                <w:lang w:val="en-GB"/>
              </w:rPr>
              <w:t xml:space="preserve">Reflections of environmental management implementation in furniture retail </w:t>
            </w:r>
            <w:r w:rsidR="00F53789" w:rsidRPr="00F53789">
              <w:rPr>
                <w:rFonts w:ascii="Verdana" w:hAnsi="Verdana"/>
                <w:b/>
                <w:sz w:val="20"/>
                <w:szCs w:val="20"/>
                <w:lang w:val="en-GB"/>
              </w:rPr>
              <w:t>(See</w:t>
            </w:r>
            <w:r w:rsidR="00F53789">
              <w:rPr>
                <w:rFonts w:ascii="Verdana" w:hAnsi="Verdana"/>
                <w:sz w:val="20"/>
                <w:szCs w:val="20"/>
                <w:lang w:val="en-GB"/>
              </w:rPr>
              <w:t xml:space="preserve"> </w:t>
            </w:r>
            <w:r w:rsidR="00F53789" w:rsidRPr="00F53789">
              <w:rPr>
                <w:rFonts w:ascii="Verdana" w:hAnsi="Verdana"/>
                <w:b/>
                <w:bCs/>
                <w:sz w:val="20"/>
                <w:szCs w:val="20"/>
                <w:lang w:val="en-US"/>
              </w:rPr>
              <w:t>IJRDM-10-2015-0154.R2</w:t>
            </w:r>
            <w:r w:rsidR="00F53789" w:rsidRPr="00F53789">
              <w:rPr>
                <w:rFonts w:ascii="Verdana" w:hAnsi="Verdana"/>
                <w:b/>
                <w:sz w:val="20"/>
                <w:szCs w:val="20"/>
                <w:lang w:val="en-US"/>
              </w:rPr>
              <w:t>)</w:t>
            </w:r>
          </w:p>
        </w:tc>
        <w:tc>
          <w:tcPr>
            <w:tcW w:w="1489" w:type="dxa"/>
          </w:tcPr>
          <w:p w:rsidR="00E76C09" w:rsidRPr="00E76C09" w:rsidRDefault="00E76C09" w:rsidP="00E76C09">
            <w:pPr>
              <w:spacing w:after="0" w:line="240" w:lineRule="auto"/>
              <w:rPr>
                <w:rFonts w:ascii="Verdana" w:hAnsi="Verdana" w:cs="Arial"/>
                <w:sz w:val="20"/>
                <w:szCs w:val="20"/>
                <w:lang w:val="en-GB"/>
              </w:rPr>
            </w:pPr>
            <w:r w:rsidRPr="00E76C09">
              <w:rPr>
                <w:rFonts w:ascii="Verdana" w:hAnsi="Verdana" w:cs="Arial"/>
                <w:sz w:val="20"/>
                <w:szCs w:val="20"/>
                <w:lang w:val="en-GB"/>
              </w:rPr>
              <w:t>Andrew Creed</w:t>
            </w:r>
          </w:p>
        </w:tc>
        <w:tc>
          <w:tcPr>
            <w:tcW w:w="1488" w:type="dxa"/>
          </w:tcPr>
          <w:p w:rsidR="00E76C09" w:rsidRPr="00E76C09" w:rsidRDefault="00E76C09" w:rsidP="00E76C09">
            <w:pPr>
              <w:spacing w:after="0" w:line="240" w:lineRule="auto"/>
              <w:rPr>
                <w:rFonts w:ascii="Verdana" w:hAnsi="Verdana" w:cs="Arial"/>
                <w:sz w:val="20"/>
                <w:szCs w:val="20"/>
                <w:lang w:val="en-GB"/>
              </w:rPr>
            </w:pPr>
            <w:proofErr w:type="spellStart"/>
            <w:r w:rsidRPr="00E76C09">
              <w:rPr>
                <w:rFonts w:ascii="Verdana" w:hAnsi="Verdana" w:cs="Arial"/>
                <w:sz w:val="20"/>
                <w:szCs w:val="20"/>
                <w:lang w:val="en-GB"/>
              </w:rPr>
              <w:t>Ambika</w:t>
            </w:r>
            <w:proofErr w:type="spellEnd"/>
            <w:r w:rsidRPr="00E76C09">
              <w:rPr>
                <w:rFonts w:ascii="Verdana" w:hAnsi="Verdana" w:cs="Arial"/>
                <w:sz w:val="20"/>
                <w:szCs w:val="20"/>
                <w:lang w:val="en-GB"/>
              </w:rPr>
              <w:t xml:space="preserve"> </w:t>
            </w:r>
            <w:proofErr w:type="spellStart"/>
            <w:r w:rsidRPr="00E76C09">
              <w:rPr>
                <w:rFonts w:ascii="Verdana" w:hAnsi="Verdana" w:cs="Arial"/>
                <w:sz w:val="20"/>
                <w:szCs w:val="20"/>
                <w:lang w:val="en-GB"/>
              </w:rPr>
              <w:t>Zutshi</w:t>
            </w:r>
            <w:proofErr w:type="spellEnd"/>
          </w:p>
        </w:tc>
        <w:tc>
          <w:tcPr>
            <w:tcW w:w="1417" w:type="dxa"/>
          </w:tcPr>
          <w:p w:rsidR="00E76C09" w:rsidRPr="00E76C09" w:rsidRDefault="00E76C09" w:rsidP="00E76C09">
            <w:pPr>
              <w:spacing w:after="0" w:line="240" w:lineRule="auto"/>
              <w:rPr>
                <w:rFonts w:ascii="Verdana" w:hAnsi="Verdana" w:cs="Arial"/>
                <w:sz w:val="20"/>
                <w:szCs w:val="20"/>
                <w:lang w:val="en-GB"/>
              </w:rPr>
            </w:pPr>
            <w:r w:rsidRPr="00E76C09">
              <w:rPr>
                <w:rFonts w:ascii="Verdana" w:hAnsi="Verdana" w:cs="Arial"/>
                <w:sz w:val="20"/>
                <w:szCs w:val="20"/>
                <w:lang w:val="en-GB"/>
              </w:rPr>
              <w:t>Mary Holmes</w:t>
            </w:r>
          </w:p>
          <w:p w:rsidR="00E76C09" w:rsidRPr="00E76C09" w:rsidRDefault="00E76C09" w:rsidP="00E76C09">
            <w:pPr>
              <w:spacing w:after="0" w:line="240" w:lineRule="auto"/>
              <w:rPr>
                <w:rFonts w:ascii="Verdana" w:hAnsi="Verdana" w:cs="Arial"/>
                <w:sz w:val="20"/>
                <w:szCs w:val="20"/>
                <w:lang w:val="en-GB"/>
              </w:rPr>
            </w:pPr>
          </w:p>
          <w:p w:rsidR="00E76C09" w:rsidRPr="00E76C09" w:rsidRDefault="00E76C09" w:rsidP="00E76C09">
            <w:pPr>
              <w:spacing w:after="0" w:line="240" w:lineRule="auto"/>
              <w:rPr>
                <w:rFonts w:ascii="Verdana" w:hAnsi="Verdana"/>
                <w:sz w:val="20"/>
                <w:szCs w:val="20"/>
                <w:lang w:val="en-GB"/>
              </w:rPr>
            </w:pPr>
            <w:r w:rsidRPr="00E76C09">
              <w:rPr>
                <w:rFonts w:ascii="Verdana" w:hAnsi="Verdana" w:cs="Arial"/>
                <w:sz w:val="20"/>
                <w:szCs w:val="20"/>
                <w:lang w:val="en-GB"/>
              </w:rPr>
              <w:t>Jade Brain</w:t>
            </w:r>
          </w:p>
        </w:tc>
        <w:tc>
          <w:tcPr>
            <w:tcW w:w="1418" w:type="dxa"/>
          </w:tcPr>
          <w:p w:rsidR="00E76C09" w:rsidRPr="00E76C09" w:rsidRDefault="00E76C09" w:rsidP="00E76C09">
            <w:pPr>
              <w:spacing w:after="0" w:line="240" w:lineRule="auto"/>
              <w:rPr>
                <w:rFonts w:ascii="Verdana" w:hAnsi="Verdana"/>
                <w:sz w:val="20"/>
                <w:szCs w:val="20"/>
                <w:lang w:val="en-GB"/>
              </w:rPr>
            </w:pPr>
            <w:r w:rsidRPr="00E76C09">
              <w:rPr>
                <w:rFonts w:ascii="Verdana" w:hAnsi="Verdana"/>
                <w:sz w:val="20"/>
                <w:szCs w:val="20"/>
                <w:lang w:val="en-GB"/>
              </w:rPr>
              <w:t>6</w:t>
            </w:r>
            <w:r w:rsidRPr="00E76C09">
              <w:rPr>
                <w:rFonts w:ascii="Verdana" w:hAnsi="Verdana"/>
                <w:sz w:val="20"/>
                <w:szCs w:val="20"/>
                <w:vertAlign w:val="superscript"/>
                <w:lang w:val="en-GB"/>
              </w:rPr>
              <w:t>th</w:t>
            </w:r>
            <w:r w:rsidRPr="00E76C09">
              <w:rPr>
                <w:rFonts w:ascii="Verdana" w:hAnsi="Verdana"/>
                <w:sz w:val="20"/>
                <w:szCs w:val="20"/>
                <w:lang w:val="en-GB"/>
              </w:rPr>
              <w:t xml:space="preserve"> October 2015</w:t>
            </w:r>
          </w:p>
        </w:tc>
        <w:tc>
          <w:tcPr>
            <w:tcW w:w="1355" w:type="dxa"/>
          </w:tcPr>
          <w:p w:rsidR="00E76C09" w:rsidRPr="00E76C09" w:rsidRDefault="00E76C09" w:rsidP="00E76C09">
            <w:pPr>
              <w:spacing w:after="0" w:line="240" w:lineRule="auto"/>
              <w:rPr>
                <w:rFonts w:ascii="Verdana" w:hAnsi="Verdana"/>
                <w:noProof/>
                <w:sz w:val="20"/>
                <w:szCs w:val="20"/>
                <w:lang w:val="en-GB"/>
              </w:rPr>
            </w:pPr>
            <w:r w:rsidRPr="00E76C09">
              <w:rPr>
                <w:rFonts w:ascii="Verdana" w:hAnsi="Verdana"/>
                <w:sz w:val="20"/>
                <w:szCs w:val="20"/>
                <w:lang w:val="en-GB"/>
              </w:rPr>
              <w:t>19</w:t>
            </w:r>
            <w:r w:rsidRPr="00E76C09">
              <w:rPr>
                <w:rFonts w:ascii="Verdana" w:hAnsi="Verdana"/>
                <w:sz w:val="20"/>
                <w:szCs w:val="20"/>
                <w:vertAlign w:val="superscript"/>
                <w:lang w:val="en-GB"/>
              </w:rPr>
              <w:t>th</w:t>
            </w:r>
            <w:r w:rsidRPr="00E76C09">
              <w:rPr>
                <w:rFonts w:ascii="Verdana" w:hAnsi="Verdana"/>
                <w:sz w:val="20"/>
                <w:szCs w:val="20"/>
                <w:lang w:val="en-GB"/>
              </w:rPr>
              <w:t xml:space="preserve"> May 2016</w:t>
            </w:r>
          </w:p>
        </w:tc>
        <w:tc>
          <w:tcPr>
            <w:tcW w:w="1480" w:type="dxa"/>
          </w:tcPr>
          <w:p w:rsidR="00E76C09" w:rsidRPr="00E76C09" w:rsidRDefault="00E76C09" w:rsidP="00E76C09">
            <w:pPr>
              <w:spacing w:after="0" w:line="240" w:lineRule="auto"/>
              <w:rPr>
                <w:rFonts w:ascii="Verdana" w:hAnsi="Verdana"/>
                <w:sz w:val="20"/>
                <w:szCs w:val="20"/>
                <w:lang w:val="en-GB"/>
              </w:rPr>
            </w:pPr>
            <w:r w:rsidRPr="00E76C09">
              <w:rPr>
                <w:rFonts w:ascii="Verdana" w:hAnsi="Verdana"/>
                <w:sz w:val="20"/>
                <w:szCs w:val="20"/>
                <w:lang w:val="en-GB"/>
              </w:rPr>
              <w:t>12</w:t>
            </w:r>
            <w:r w:rsidRPr="00E76C09">
              <w:rPr>
                <w:rFonts w:ascii="Verdana" w:hAnsi="Verdana"/>
                <w:sz w:val="20"/>
                <w:szCs w:val="20"/>
                <w:vertAlign w:val="superscript"/>
                <w:lang w:val="en-GB"/>
              </w:rPr>
              <w:t>th</w:t>
            </w:r>
            <w:r w:rsidRPr="00E76C09">
              <w:rPr>
                <w:rFonts w:ascii="Verdana" w:hAnsi="Verdana"/>
                <w:sz w:val="20"/>
                <w:szCs w:val="20"/>
                <w:lang w:val="en-GB"/>
              </w:rPr>
              <w:t xml:space="preserve"> June 2016</w:t>
            </w:r>
          </w:p>
        </w:tc>
      </w:tr>
      <w:tr w:rsidR="00E76C09" w:rsidRPr="00E76C09" w:rsidTr="00E05308">
        <w:tc>
          <w:tcPr>
            <w:tcW w:w="2188" w:type="dxa"/>
          </w:tcPr>
          <w:p w:rsidR="00E76C09" w:rsidRPr="00446D53" w:rsidRDefault="00E76C09" w:rsidP="00446D53">
            <w:pPr>
              <w:pStyle w:val="ListParagraph"/>
              <w:spacing w:after="0" w:line="240" w:lineRule="auto"/>
              <w:ind w:left="0"/>
              <w:rPr>
                <w:rFonts w:ascii="Verdana" w:hAnsi="Verdana"/>
                <w:sz w:val="20"/>
                <w:szCs w:val="20"/>
              </w:rPr>
            </w:pPr>
            <w:r w:rsidRPr="00E76C09">
              <w:rPr>
                <w:rFonts w:ascii="Verdana" w:hAnsi="Verdana"/>
                <w:sz w:val="20"/>
                <w:szCs w:val="20"/>
                <w:lang w:val="en-GB"/>
              </w:rPr>
              <w:t xml:space="preserve">Role of trusting beliefs in predicting purchase intentions </w:t>
            </w:r>
            <w:r w:rsidR="00446D53" w:rsidRPr="00446D53">
              <w:rPr>
                <w:rFonts w:ascii="Verdana" w:hAnsi="Verdana"/>
                <w:b/>
                <w:sz w:val="20"/>
                <w:szCs w:val="20"/>
                <w:lang w:val="en-GB"/>
              </w:rPr>
              <w:t xml:space="preserve">(See </w:t>
            </w:r>
            <w:r w:rsidR="00446D53" w:rsidRPr="00446D53">
              <w:rPr>
                <w:rFonts w:ascii="Verdana" w:hAnsi="Verdana"/>
                <w:b/>
                <w:bCs/>
                <w:sz w:val="20"/>
                <w:szCs w:val="20"/>
              </w:rPr>
              <w:t>IJRDM-10-2015-0157.R4</w:t>
            </w:r>
            <w:r w:rsidR="00446D53" w:rsidRPr="00446D53">
              <w:rPr>
                <w:rFonts w:ascii="Verdana" w:hAnsi="Verdana"/>
                <w:b/>
                <w:sz w:val="20"/>
                <w:szCs w:val="20"/>
              </w:rPr>
              <w:t>)</w:t>
            </w:r>
          </w:p>
        </w:tc>
        <w:tc>
          <w:tcPr>
            <w:tcW w:w="1489" w:type="dxa"/>
          </w:tcPr>
          <w:p w:rsidR="00E76C09" w:rsidRPr="00E76C09" w:rsidRDefault="00E76C09" w:rsidP="00E76C09">
            <w:pPr>
              <w:pStyle w:val="pagecontents"/>
              <w:spacing w:before="0" w:beforeAutospacing="0" w:after="0" w:afterAutospacing="0"/>
              <w:rPr>
                <w:color w:val="auto"/>
                <w:sz w:val="20"/>
                <w:szCs w:val="20"/>
              </w:rPr>
            </w:pPr>
            <w:r w:rsidRPr="00E76C09">
              <w:rPr>
                <w:color w:val="auto"/>
                <w:sz w:val="20"/>
                <w:szCs w:val="20"/>
              </w:rPr>
              <w:t xml:space="preserve">Harjit Sekhon </w:t>
            </w:r>
          </w:p>
        </w:tc>
        <w:tc>
          <w:tcPr>
            <w:tcW w:w="1488" w:type="dxa"/>
          </w:tcPr>
          <w:p w:rsidR="00E76C09" w:rsidRPr="00E76C09" w:rsidRDefault="00E76C09" w:rsidP="00E76C09">
            <w:pPr>
              <w:spacing w:after="0" w:line="240" w:lineRule="auto"/>
              <w:rPr>
                <w:rFonts w:ascii="Verdana" w:hAnsi="Verdana" w:cs="Arial"/>
                <w:sz w:val="20"/>
                <w:szCs w:val="20"/>
                <w:lang w:val="en-GB"/>
              </w:rPr>
            </w:pPr>
            <w:proofErr w:type="spellStart"/>
            <w:r w:rsidRPr="00E76C09">
              <w:rPr>
                <w:rFonts w:ascii="Verdana" w:hAnsi="Verdana"/>
                <w:sz w:val="20"/>
                <w:szCs w:val="20"/>
                <w:lang w:val="en-GB"/>
              </w:rPr>
              <w:t>Gurjeet</w:t>
            </w:r>
            <w:proofErr w:type="spellEnd"/>
            <w:r w:rsidRPr="00E76C09">
              <w:rPr>
                <w:rFonts w:ascii="Verdana" w:hAnsi="Verdana"/>
                <w:sz w:val="20"/>
                <w:szCs w:val="20"/>
                <w:lang w:val="en-GB"/>
              </w:rPr>
              <w:t xml:space="preserve"> </w:t>
            </w:r>
            <w:proofErr w:type="spellStart"/>
            <w:r w:rsidRPr="00E76C09">
              <w:rPr>
                <w:rFonts w:ascii="Verdana" w:hAnsi="Verdana"/>
                <w:sz w:val="20"/>
                <w:szCs w:val="20"/>
                <w:lang w:val="en-GB"/>
              </w:rPr>
              <w:t>Sahi</w:t>
            </w:r>
            <w:proofErr w:type="spellEnd"/>
          </w:p>
        </w:tc>
        <w:tc>
          <w:tcPr>
            <w:tcW w:w="1417" w:type="dxa"/>
          </w:tcPr>
          <w:p w:rsidR="00E76C09" w:rsidRPr="00E76C09" w:rsidRDefault="00E76C09" w:rsidP="00E76C09">
            <w:pPr>
              <w:spacing w:after="0" w:line="240" w:lineRule="auto"/>
              <w:rPr>
                <w:rFonts w:ascii="Verdana" w:hAnsi="Verdana"/>
                <w:sz w:val="20"/>
                <w:szCs w:val="20"/>
                <w:lang w:val="en-GB"/>
              </w:rPr>
            </w:pPr>
            <w:proofErr w:type="spellStart"/>
            <w:r w:rsidRPr="00E76C09">
              <w:rPr>
                <w:rFonts w:ascii="Verdana" w:hAnsi="Verdana"/>
                <w:sz w:val="20"/>
                <w:szCs w:val="20"/>
                <w:lang w:val="en-GB"/>
              </w:rPr>
              <w:t>Tahira</w:t>
            </w:r>
            <w:proofErr w:type="spellEnd"/>
            <w:r w:rsidRPr="00E76C09">
              <w:rPr>
                <w:rFonts w:ascii="Verdana" w:hAnsi="Verdana"/>
                <w:sz w:val="20"/>
                <w:szCs w:val="20"/>
                <w:lang w:val="en-GB"/>
              </w:rPr>
              <w:t xml:space="preserve"> </w:t>
            </w:r>
            <w:proofErr w:type="spellStart"/>
            <w:r w:rsidRPr="00E76C09">
              <w:rPr>
                <w:rFonts w:ascii="Verdana" w:hAnsi="Verdana"/>
                <w:sz w:val="20"/>
                <w:szCs w:val="20"/>
                <w:lang w:val="en-GB"/>
              </w:rPr>
              <w:t>Quareshi</w:t>
            </w:r>
            <w:proofErr w:type="spellEnd"/>
            <w:r w:rsidRPr="00E76C09">
              <w:rPr>
                <w:rFonts w:ascii="Verdana" w:hAnsi="Verdana"/>
                <w:sz w:val="20"/>
                <w:szCs w:val="20"/>
                <w:lang w:val="en-GB"/>
              </w:rPr>
              <w:t xml:space="preserve"> </w:t>
            </w:r>
          </w:p>
        </w:tc>
        <w:tc>
          <w:tcPr>
            <w:tcW w:w="1418" w:type="dxa"/>
          </w:tcPr>
          <w:p w:rsidR="00E76C09" w:rsidRPr="00E76C09" w:rsidRDefault="00E76C09" w:rsidP="00E76C09">
            <w:pPr>
              <w:spacing w:after="0" w:line="240" w:lineRule="auto"/>
              <w:rPr>
                <w:rFonts w:ascii="Verdana" w:hAnsi="Verdana"/>
                <w:sz w:val="20"/>
                <w:szCs w:val="20"/>
                <w:lang w:val="en-GB"/>
              </w:rPr>
            </w:pPr>
            <w:r w:rsidRPr="00E76C09">
              <w:rPr>
                <w:rFonts w:ascii="Verdana" w:hAnsi="Verdana"/>
                <w:sz w:val="20"/>
                <w:szCs w:val="20"/>
                <w:lang w:val="en-GB"/>
              </w:rPr>
              <w:t>15</w:t>
            </w:r>
            <w:r w:rsidRPr="00E76C09">
              <w:rPr>
                <w:rFonts w:ascii="Verdana" w:hAnsi="Verdana"/>
                <w:sz w:val="20"/>
                <w:szCs w:val="20"/>
                <w:vertAlign w:val="superscript"/>
                <w:lang w:val="en-GB"/>
              </w:rPr>
              <w:t>th</w:t>
            </w:r>
            <w:r w:rsidRPr="00E76C09">
              <w:rPr>
                <w:rFonts w:ascii="Verdana" w:hAnsi="Verdana"/>
                <w:sz w:val="20"/>
                <w:szCs w:val="20"/>
                <w:lang w:val="en-GB"/>
              </w:rPr>
              <w:t xml:space="preserve"> October 2015</w:t>
            </w:r>
          </w:p>
        </w:tc>
        <w:tc>
          <w:tcPr>
            <w:tcW w:w="1355" w:type="dxa"/>
          </w:tcPr>
          <w:p w:rsidR="00E76C09" w:rsidRPr="00E76C09" w:rsidRDefault="00E76C09" w:rsidP="00E76C09">
            <w:pPr>
              <w:spacing w:after="0" w:line="240" w:lineRule="auto"/>
              <w:rPr>
                <w:rFonts w:ascii="Verdana" w:hAnsi="Verdana"/>
                <w:sz w:val="20"/>
                <w:szCs w:val="20"/>
                <w:lang w:val="en-GB"/>
              </w:rPr>
            </w:pPr>
            <w:r w:rsidRPr="00E76C09">
              <w:rPr>
                <w:rFonts w:ascii="Verdana" w:hAnsi="Verdana"/>
                <w:sz w:val="20"/>
                <w:szCs w:val="20"/>
                <w:lang w:val="en-GB"/>
              </w:rPr>
              <w:t>5</w:t>
            </w:r>
            <w:r w:rsidRPr="00E76C09">
              <w:rPr>
                <w:rFonts w:ascii="Verdana" w:hAnsi="Verdana"/>
                <w:sz w:val="20"/>
                <w:szCs w:val="20"/>
                <w:vertAlign w:val="superscript"/>
                <w:lang w:val="en-GB"/>
              </w:rPr>
              <w:t>th</w:t>
            </w:r>
            <w:r w:rsidRPr="00E76C09">
              <w:rPr>
                <w:rFonts w:ascii="Verdana" w:hAnsi="Verdana"/>
                <w:sz w:val="20"/>
                <w:szCs w:val="20"/>
                <w:lang w:val="en-GB"/>
              </w:rPr>
              <w:t xml:space="preserve"> May 2016</w:t>
            </w:r>
          </w:p>
        </w:tc>
        <w:tc>
          <w:tcPr>
            <w:tcW w:w="1480" w:type="dxa"/>
          </w:tcPr>
          <w:p w:rsidR="00E76C09" w:rsidRPr="00E76C09" w:rsidRDefault="00E76C09" w:rsidP="00E76C09">
            <w:pPr>
              <w:spacing w:after="0" w:line="240" w:lineRule="auto"/>
              <w:rPr>
                <w:rFonts w:ascii="Verdana" w:hAnsi="Verdana"/>
                <w:sz w:val="20"/>
                <w:szCs w:val="20"/>
                <w:lang w:val="en-GB"/>
              </w:rPr>
            </w:pPr>
            <w:r w:rsidRPr="00E76C09">
              <w:rPr>
                <w:rFonts w:ascii="Verdana" w:hAnsi="Verdana"/>
                <w:sz w:val="20"/>
                <w:szCs w:val="20"/>
                <w:lang w:val="en-GB"/>
              </w:rPr>
              <w:t>17</w:t>
            </w:r>
            <w:r w:rsidRPr="00E76C09">
              <w:rPr>
                <w:rFonts w:ascii="Verdana" w:hAnsi="Verdana"/>
                <w:sz w:val="20"/>
                <w:szCs w:val="20"/>
                <w:vertAlign w:val="superscript"/>
                <w:lang w:val="en-GB"/>
              </w:rPr>
              <w:t>th</w:t>
            </w:r>
            <w:r w:rsidRPr="00E76C09">
              <w:rPr>
                <w:rFonts w:ascii="Verdana" w:hAnsi="Verdana"/>
                <w:sz w:val="20"/>
                <w:szCs w:val="20"/>
                <w:lang w:val="en-GB"/>
              </w:rPr>
              <w:t xml:space="preserve"> June 2016</w:t>
            </w:r>
          </w:p>
        </w:tc>
      </w:tr>
    </w:tbl>
    <w:p w:rsidR="006C0BF3" w:rsidRPr="00995C08" w:rsidRDefault="006C0BF3" w:rsidP="00C32E9E">
      <w:pPr>
        <w:rPr>
          <w:rStyle w:val="A5"/>
          <w:rFonts w:ascii="Verdana" w:hAnsi="Verdana"/>
          <w:b w:val="0"/>
          <w:noProof/>
          <w:color w:val="auto"/>
          <w:lang w:val="en-GB"/>
        </w:rPr>
      </w:pPr>
    </w:p>
    <w:sectPr w:rsidR="006C0BF3" w:rsidRPr="00995C08" w:rsidSect="00CD0EF3">
      <w:headerReference w:type="default" r:id="rId9"/>
      <w:footerReference w:type="default" r:id="rId10"/>
      <w:pgSz w:w="11907" w:h="16839" w:code="9"/>
      <w:pgMar w:top="1361" w:right="1797" w:bottom="1361" w:left="1797" w:header="720" w:footer="72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B17" w:rsidRDefault="00634B17" w:rsidP="00600AFA">
      <w:pPr>
        <w:spacing w:after="0" w:line="240" w:lineRule="auto"/>
      </w:pPr>
      <w:r>
        <w:separator/>
      </w:r>
    </w:p>
  </w:endnote>
  <w:endnote w:type="continuationSeparator" w:id="0">
    <w:p w:rsidR="00634B17" w:rsidRDefault="00634B17" w:rsidP="0060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17" w:rsidRDefault="00634B17" w:rsidP="00087B28">
    <w:pPr>
      <w:pStyle w:val="Footer"/>
      <w:jc w:val="right"/>
      <w:rPr>
        <w:rFonts w:ascii="Verdana" w:hAnsi="Verdana"/>
        <w:sz w:val="20"/>
        <w:szCs w:val="20"/>
        <w:lang w:val="en-GB"/>
      </w:rPr>
    </w:pPr>
  </w:p>
  <w:p w:rsidR="00634B17" w:rsidRPr="00087B28" w:rsidRDefault="00634B17" w:rsidP="00087B28">
    <w:pPr>
      <w:pStyle w:val="Footer"/>
      <w:jc w:val="right"/>
      <w:rPr>
        <w:rFonts w:ascii="Verdana" w:hAnsi="Verdana"/>
        <w:sz w:val="20"/>
        <w:szCs w:val="20"/>
        <w:lang w:val="en-GB"/>
      </w:rPr>
    </w:pPr>
    <w:r w:rsidRPr="00087B28">
      <w:rPr>
        <w:rFonts w:ascii="Verdana" w:hAnsi="Verdana"/>
        <w:sz w:val="20"/>
        <w:szCs w:val="20"/>
        <w:lang w:val="en-GB"/>
      </w:rPr>
      <w:t>Professor Neil Towers</w:t>
    </w:r>
  </w:p>
  <w:p w:rsidR="00634B17" w:rsidRPr="00087B28" w:rsidRDefault="00634B17" w:rsidP="00087B28">
    <w:pPr>
      <w:pStyle w:val="Footer"/>
      <w:jc w:val="right"/>
      <w:rPr>
        <w:rFonts w:ascii="Verdana" w:hAnsi="Verdana"/>
        <w:sz w:val="20"/>
        <w:szCs w:val="20"/>
        <w:lang w:val="en-GB"/>
      </w:rPr>
    </w:pPr>
    <w:r w:rsidRPr="00087B28">
      <w:rPr>
        <w:rFonts w:ascii="Verdana" w:hAnsi="Verdana"/>
        <w:sz w:val="20"/>
        <w:szCs w:val="20"/>
        <w:lang w:val="en-GB"/>
      </w:rPr>
      <w:t>Editor</w:t>
    </w:r>
  </w:p>
  <w:p w:rsidR="00634B17" w:rsidRPr="00087B28" w:rsidRDefault="00834700" w:rsidP="00087B28">
    <w:pPr>
      <w:pStyle w:val="Footer"/>
      <w:jc w:val="right"/>
      <w:rPr>
        <w:rFonts w:ascii="Verdana" w:hAnsi="Verdana"/>
        <w:sz w:val="20"/>
        <w:szCs w:val="20"/>
        <w:lang w:val="en-GB"/>
      </w:rPr>
    </w:pPr>
    <w:r>
      <w:rPr>
        <w:rFonts w:ascii="Verdana" w:hAnsi="Verdana"/>
        <w:sz w:val="20"/>
        <w:szCs w:val="20"/>
        <w:lang w:val="en-GB"/>
      </w:rPr>
      <w:t>17</w:t>
    </w:r>
    <w:r w:rsidR="001B66BB" w:rsidRPr="001B66BB">
      <w:rPr>
        <w:rFonts w:ascii="Verdana" w:hAnsi="Verdana"/>
        <w:sz w:val="20"/>
        <w:szCs w:val="20"/>
        <w:vertAlign w:val="superscript"/>
        <w:lang w:val="en-GB"/>
      </w:rPr>
      <w:t>th</w:t>
    </w:r>
    <w:r w:rsidR="001B66BB">
      <w:rPr>
        <w:rFonts w:ascii="Verdana" w:hAnsi="Verdana"/>
        <w:sz w:val="20"/>
        <w:szCs w:val="20"/>
        <w:lang w:val="en-GB"/>
      </w:rPr>
      <w:t xml:space="preserve"> </w:t>
    </w:r>
    <w:r>
      <w:rPr>
        <w:rFonts w:ascii="Verdana" w:hAnsi="Verdana"/>
        <w:sz w:val="20"/>
        <w:szCs w:val="20"/>
        <w:lang w:val="en-GB"/>
      </w:rPr>
      <w:t>June</w:t>
    </w:r>
    <w:r w:rsidR="00933D05">
      <w:rPr>
        <w:rFonts w:ascii="Verdana" w:hAnsi="Verdana"/>
        <w:sz w:val="20"/>
        <w:szCs w:val="20"/>
        <w:lang w:val="en-GB"/>
      </w:rPr>
      <w:t xml:space="preserve"> 201</w:t>
    </w:r>
    <w:r w:rsidR="001B66BB">
      <w:rPr>
        <w:rFonts w:ascii="Verdana" w:hAnsi="Verdana"/>
        <w:sz w:val="20"/>
        <w:szCs w:val="20"/>
        <w:lang w:val="en-GB"/>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B17" w:rsidRDefault="00634B17" w:rsidP="00600AFA">
      <w:pPr>
        <w:spacing w:after="0" w:line="240" w:lineRule="auto"/>
      </w:pPr>
      <w:r>
        <w:separator/>
      </w:r>
    </w:p>
  </w:footnote>
  <w:footnote w:type="continuationSeparator" w:id="0">
    <w:p w:rsidR="00634B17" w:rsidRDefault="00634B17" w:rsidP="00600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17" w:rsidRPr="00600AFA" w:rsidRDefault="00634B17" w:rsidP="00600AFA">
    <w:pPr>
      <w:pStyle w:val="Header"/>
      <w:rPr>
        <w:rFonts w:ascii="Verdana" w:hAnsi="Verdana"/>
        <w:sz w:val="20"/>
        <w:szCs w:val="20"/>
        <w:lang w:val="en-GB"/>
      </w:rPr>
    </w:pPr>
    <w:r w:rsidRPr="00600AFA">
      <w:rPr>
        <w:rFonts w:ascii="Verdana" w:hAnsi="Verdana"/>
        <w:sz w:val="20"/>
        <w:szCs w:val="20"/>
        <w:lang w:val="en-GB"/>
      </w:rPr>
      <w:t xml:space="preserve">International Journal of Retail </w:t>
    </w:r>
    <w:r w:rsidR="003B4879">
      <w:rPr>
        <w:rFonts w:ascii="Verdana" w:hAnsi="Verdana"/>
        <w:sz w:val="20"/>
        <w:szCs w:val="20"/>
        <w:lang w:val="en-GB"/>
      </w:rPr>
      <w:t>&amp;</w:t>
    </w:r>
    <w:r w:rsidRPr="00600AFA">
      <w:rPr>
        <w:rFonts w:ascii="Verdana" w:hAnsi="Verdana"/>
        <w:sz w:val="20"/>
        <w:szCs w:val="20"/>
        <w:lang w:val="en-GB"/>
      </w:rPr>
      <w:t xml:space="preserve"> Distribution Management</w:t>
    </w:r>
  </w:p>
  <w:p w:rsidR="00634B17" w:rsidRPr="00600AFA" w:rsidRDefault="00634B17" w:rsidP="00600AFA">
    <w:pPr>
      <w:pStyle w:val="Header"/>
      <w:rPr>
        <w:rFonts w:ascii="Verdana" w:hAnsi="Verdana"/>
        <w:sz w:val="20"/>
        <w:szCs w:val="20"/>
        <w:lang w:val="en-GB"/>
      </w:rPr>
    </w:pPr>
  </w:p>
  <w:p w:rsidR="00634B17" w:rsidRPr="00920A1E" w:rsidRDefault="00051564" w:rsidP="00600AFA">
    <w:pPr>
      <w:pStyle w:val="Header"/>
      <w:rPr>
        <w:rFonts w:ascii="Verdana" w:hAnsi="Verdana"/>
        <w:sz w:val="20"/>
        <w:szCs w:val="20"/>
        <w:lang w:val="en-GB"/>
      </w:rPr>
    </w:pPr>
    <w:r>
      <w:rPr>
        <w:rFonts w:ascii="Verdana" w:hAnsi="Verdana"/>
        <w:sz w:val="20"/>
        <w:szCs w:val="20"/>
        <w:lang w:val="en-GB"/>
      </w:rPr>
      <w:t>Volume 4</w:t>
    </w:r>
    <w:r w:rsidR="00933D05">
      <w:rPr>
        <w:rFonts w:ascii="Verdana" w:hAnsi="Verdana"/>
        <w:sz w:val="20"/>
        <w:szCs w:val="20"/>
        <w:lang w:val="en-GB"/>
      </w:rPr>
      <w:t>4</w:t>
    </w:r>
    <w:r w:rsidR="00634B17" w:rsidRPr="00920A1E">
      <w:rPr>
        <w:rFonts w:ascii="Verdana" w:hAnsi="Verdana"/>
        <w:sz w:val="20"/>
        <w:szCs w:val="20"/>
        <w:lang w:val="en-GB"/>
      </w:rPr>
      <w:t xml:space="preserve"> Issue </w:t>
    </w:r>
    <w:r w:rsidR="00834700">
      <w:rPr>
        <w:rFonts w:ascii="Verdana" w:hAnsi="Verdana"/>
        <w:sz w:val="20"/>
        <w:szCs w:val="20"/>
        <w:lang w:val="en-GB"/>
      </w:rPr>
      <w:t>8</w:t>
    </w:r>
  </w:p>
  <w:p w:rsidR="00634B17" w:rsidRDefault="00634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664"/>
    <w:multiLevelType w:val="hybridMultilevel"/>
    <w:tmpl w:val="469ADCF6"/>
    <w:lvl w:ilvl="0" w:tplc="040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3500F7"/>
    <w:multiLevelType w:val="hybridMultilevel"/>
    <w:tmpl w:val="6DCE1322"/>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
    <w:nsid w:val="2BAD4D62"/>
    <w:multiLevelType w:val="multilevel"/>
    <w:tmpl w:val="FE84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210687"/>
    <w:multiLevelType w:val="multilevel"/>
    <w:tmpl w:val="0E8A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E9E"/>
    <w:rsid w:val="00000AC1"/>
    <w:rsid w:val="00003224"/>
    <w:rsid w:val="00003BAD"/>
    <w:rsid w:val="00007F0B"/>
    <w:rsid w:val="000211C0"/>
    <w:rsid w:val="000331DA"/>
    <w:rsid w:val="00034447"/>
    <w:rsid w:val="000418AD"/>
    <w:rsid w:val="00051564"/>
    <w:rsid w:val="00063630"/>
    <w:rsid w:val="0008241E"/>
    <w:rsid w:val="00087B28"/>
    <w:rsid w:val="0009488C"/>
    <w:rsid w:val="000963A7"/>
    <w:rsid w:val="000D07C6"/>
    <w:rsid w:val="000D3301"/>
    <w:rsid w:val="000E3707"/>
    <w:rsid w:val="000E5DDE"/>
    <w:rsid w:val="000F6091"/>
    <w:rsid w:val="00133ADC"/>
    <w:rsid w:val="00133EC6"/>
    <w:rsid w:val="00184F20"/>
    <w:rsid w:val="001B66BB"/>
    <w:rsid w:val="00244528"/>
    <w:rsid w:val="002748BA"/>
    <w:rsid w:val="002752CD"/>
    <w:rsid w:val="0029063E"/>
    <w:rsid w:val="002A12E4"/>
    <w:rsid w:val="002B177F"/>
    <w:rsid w:val="002D1847"/>
    <w:rsid w:val="002F2347"/>
    <w:rsid w:val="003120DF"/>
    <w:rsid w:val="00341777"/>
    <w:rsid w:val="00347179"/>
    <w:rsid w:val="00385376"/>
    <w:rsid w:val="003871F0"/>
    <w:rsid w:val="00390E59"/>
    <w:rsid w:val="003B2637"/>
    <w:rsid w:val="003B4879"/>
    <w:rsid w:val="003B7989"/>
    <w:rsid w:val="003C7D16"/>
    <w:rsid w:val="003E1CDF"/>
    <w:rsid w:val="003E5F38"/>
    <w:rsid w:val="003E726E"/>
    <w:rsid w:val="003F64F6"/>
    <w:rsid w:val="004343B0"/>
    <w:rsid w:val="004426B9"/>
    <w:rsid w:val="00446D53"/>
    <w:rsid w:val="004731B1"/>
    <w:rsid w:val="00482523"/>
    <w:rsid w:val="00497185"/>
    <w:rsid w:val="004A3A60"/>
    <w:rsid w:val="00521780"/>
    <w:rsid w:val="00523368"/>
    <w:rsid w:val="00541252"/>
    <w:rsid w:val="00543AF1"/>
    <w:rsid w:val="00546903"/>
    <w:rsid w:val="00547EBE"/>
    <w:rsid w:val="00550BCA"/>
    <w:rsid w:val="00574D7E"/>
    <w:rsid w:val="00575B79"/>
    <w:rsid w:val="005805B7"/>
    <w:rsid w:val="005B2CD7"/>
    <w:rsid w:val="005B6737"/>
    <w:rsid w:val="005E7F2A"/>
    <w:rsid w:val="006004E0"/>
    <w:rsid w:val="00600AFA"/>
    <w:rsid w:val="006069A1"/>
    <w:rsid w:val="00621165"/>
    <w:rsid w:val="00624EE9"/>
    <w:rsid w:val="00634B17"/>
    <w:rsid w:val="00643650"/>
    <w:rsid w:val="00672674"/>
    <w:rsid w:val="00672C1E"/>
    <w:rsid w:val="00676545"/>
    <w:rsid w:val="00677748"/>
    <w:rsid w:val="00686EB5"/>
    <w:rsid w:val="006A4841"/>
    <w:rsid w:val="006A5A6F"/>
    <w:rsid w:val="006B7D32"/>
    <w:rsid w:val="006C0BF3"/>
    <w:rsid w:val="006D04AF"/>
    <w:rsid w:val="006D2461"/>
    <w:rsid w:val="006F2266"/>
    <w:rsid w:val="00754AEE"/>
    <w:rsid w:val="00772DD5"/>
    <w:rsid w:val="00793580"/>
    <w:rsid w:val="007C2FCD"/>
    <w:rsid w:val="00801C16"/>
    <w:rsid w:val="008212BD"/>
    <w:rsid w:val="00834700"/>
    <w:rsid w:val="00846E75"/>
    <w:rsid w:val="00852F0F"/>
    <w:rsid w:val="00866C66"/>
    <w:rsid w:val="00886E35"/>
    <w:rsid w:val="00896A39"/>
    <w:rsid w:val="008A6149"/>
    <w:rsid w:val="008D696E"/>
    <w:rsid w:val="008E0122"/>
    <w:rsid w:val="008E0CE1"/>
    <w:rsid w:val="008E15C9"/>
    <w:rsid w:val="008F671B"/>
    <w:rsid w:val="00904159"/>
    <w:rsid w:val="00905035"/>
    <w:rsid w:val="00916149"/>
    <w:rsid w:val="00920A1E"/>
    <w:rsid w:val="00925048"/>
    <w:rsid w:val="00927687"/>
    <w:rsid w:val="00933D05"/>
    <w:rsid w:val="00981BBC"/>
    <w:rsid w:val="0099324E"/>
    <w:rsid w:val="00995C08"/>
    <w:rsid w:val="00996ABF"/>
    <w:rsid w:val="00997711"/>
    <w:rsid w:val="009A15E8"/>
    <w:rsid w:val="009A163A"/>
    <w:rsid w:val="009B4653"/>
    <w:rsid w:val="009B6A36"/>
    <w:rsid w:val="009C0B28"/>
    <w:rsid w:val="009C1690"/>
    <w:rsid w:val="009C3481"/>
    <w:rsid w:val="009C39D2"/>
    <w:rsid w:val="009C3AFC"/>
    <w:rsid w:val="009D07E5"/>
    <w:rsid w:val="009D1A9B"/>
    <w:rsid w:val="009D44AF"/>
    <w:rsid w:val="009F626A"/>
    <w:rsid w:val="00A02AB9"/>
    <w:rsid w:val="00A1153F"/>
    <w:rsid w:val="00A3787A"/>
    <w:rsid w:val="00A51BD9"/>
    <w:rsid w:val="00A71AA9"/>
    <w:rsid w:val="00A95099"/>
    <w:rsid w:val="00AC2911"/>
    <w:rsid w:val="00AD2142"/>
    <w:rsid w:val="00AF1CC1"/>
    <w:rsid w:val="00AF4965"/>
    <w:rsid w:val="00AF6872"/>
    <w:rsid w:val="00B12275"/>
    <w:rsid w:val="00B42AB6"/>
    <w:rsid w:val="00B51206"/>
    <w:rsid w:val="00B60DF3"/>
    <w:rsid w:val="00B73338"/>
    <w:rsid w:val="00B82FDE"/>
    <w:rsid w:val="00B833F4"/>
    <w:rsid w:val="00BC4FB2"/>
    <w:rsid w:val="00BD774E"/>
    <w:rsid w:val="00BF0D36"/>
    <w:rsid w:val="00BF4B03"/>
    <w:rsid w:val="00C127B9"/>
    <w:rsid w:val="00C239EB"/>
    <w:rsid w:val="00C32E9E"/>
    <w:rsid w:val="00C366AE"/>
    <w:rsid w:val="00C42154"/>
    <w:rsid w:val="00C458FF"/>
    <w:rsid w:val="00C47F94"/>
    <w:rsid w:val="00C557E4"/>
    <w:rsid w:val="00C92E6A"/>
    <w:rsid w:val="00CC5C69"/>
    <w:rsid w:val="00CD0EF3"/>
    <w:rsid w:val="00CD4A18"/>
    <w:rsid w:val="00CE0DE0"/>
    <w:rsid w:val="00D015E1"/>
    <w:rsid w:val="00D36B95"/>
    <w:rsid w:val="00D43217"/>
    <w:rsid w:val="00D53E3E"/>
    <w:rsid w:val="00D54AFB"/>
    <w:rsid w:val="00D65F45"/>
    <w:rsid w:val="00DA2FE3"/>
    <w:rsid w:val="00DA4CAD"/>
    <w:rsid w:val="00DF51D1"/>
    <w:rsid w:val="00E121D1"/>
    <w:rsid w:val="00E37320"/>
    <w:rsid w:val="00E649F6"/>
    <w:rsid w:val="00E76C09"/>
    <w:rsid w:val="00ED037A"/>
    <w:rsid w:val="00F16086"/>
    <w:rsid w:val="00F53789"/>
    <w:rsid w:val="00F703BA"/>
    <w:rsid w:val="00F852BE"/>
    <w:rsid w:val="00F92448"/>
    <w:rsid w:val="00FA4250"/>
    <w:rsid w:val="00FE1020"/>
    <w:rsid w:val="00FE291E"/>
    <w:rsid w:val="00FF14C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4A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2E9E"/>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A5">
    <w:name w:val="A5"/>
    <w:uiPriority w:val="99"/>
    <w:rsid w:val="00C32E9E"/>
    <w:rPr>
      <w:rFonts w:cs="Myriad Pro Light"/>
      <w:b/>
      <w:bCs/>
      <w:color w:val="221E1F"/>
      <w:sz w:val="20"/>
      <w:szCs w:val="20"/>
    </w:rPr>
  </w:style>
  <w:style w:type="character" w:styleId="Hyperlink">
    <w:name w:val="Hyperlink"/>
    <w:basedOn w:val="DefaultParagraphFont"/>
    <w:uiPriority w:val="99"/>
    <w:unhideWhenUsed/>
    <w:rsid w:val="00DF51D1"/>
    <w:rPr>
      <w:color w:val="0000FF" w:themeColor="hyperlink"/>
      <w:u w:val="single"/>
    </w:rPr>
  </w:style>
  <w:style w:type="paragraph" w:styleId="BodyText2">
    <w:name w:val="Body Text 2"/>
    <w:basedOn w:val="Normal"/>
    <w:link w:val="BodyText2Char"/>
    <w:rsid w:val="00600AFA"/>
    <w:pPr>
      <w:spacing w:after="0" w:line="240" w:lineRule="auto"/>
      <w:jc w:val="center"/>
    </w:pPr>
    <w:rPr>
      <w:rFonts w:ascii="Times New Roman" w:eastAsia="Times New Roman" w:hAnsi="Times New Roman" w:cs="Times New Roman"/>
      <w:sz w:val="32"/>
      <w:szCs w:val="24"/>
      <w:u w:val="single"/>
      <w:lang w:val="en-GB"/>
    </w:rPr>
  </w:style>
  <w:style w:type="character" w:customStyle="1" w:styleId="BodyText2Char">
    <w:name w:val="Body Text 2 Char"/>
    <w:basedOn w:val="DefaultParagraphFont"/>
    <w:link w:val="BodyText2"/>
    <w:rsid w:val="00600AFA"/>
    <w:rPr>
      <w:rFonts w:ascii="Times New Roman" w:eastAsia="Times New Roman" w:hAnsi="Times New Roman" w:cs="Times New Roman"/>
      <w:sz w:val="32"/>
      <w:szCs w:val="24"/>
      <w:u w:val="single"/>
      <w:lang w:val="en-GB"/>
    </w:rPr>
  </w:style>
  <w:style w:type="paragraph" w:styleId="BodyText">
    <w:name w:val="Body Text"/>
    <w:aliases w:val=" 字元3"/>
    <w:basedOn w:val="Normal"/>
    <w:link w:val="BodyTextChar"/>
    <w:rsid w:val="00600AFA"/>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aliases w:val=" 字元3 Char"/>
    <w:basedOn w:val="DefaultParagraphFont"/>
    <w:link w:val="BodyText"/>
    <w:rsid w:val="00600AFA"/>
    <w:rPr>
      <w:rFonts w:ascii="Times New Roman" w:eastAsia="Times New Roman" w:hAnsi="Times New Roman" w:cs="Times New Roman"/>
      <w:sz w:val="24"/>
      <w:szCs w:val="24"/>
      <w:lang w:val="en-GB"/>
    </w:rPr>
  </w:style>
  <w:style w:type="paragraph" w:customStyle="1" w:styleId="xHeadChapB">
    <w:name w:val="xHeadChapB"/>
    <w:basedOn w:val="Normal"/>
    <w:rsid w:val="00600AFA"/>
    <w:pPr>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bCs/>
      <w:sz w:val="36"/>
      <w:szCs w:val="36"/>
      <w:lang w:val="en-AU"/>
    </w:rPr>
  </w:style>
  <w:style w:type="paragraph" w:customStyle="1" w:styleId="TITRE">
    <w:name w:val="TITRE"/>
    <w:basedOn w:val="Normal"/>
    <w:uiPriority w:val="99"/>
    <w:rsid w:val="00600AFA"/>
    <w:pPr>
      <w:spacing w:after="0" w:line="240" w:lineRule="auto"/>
      <w:ind w:right="562"/>
      <w:jc w:val="center"/>
    </w:pPr>
    <w:rPr>
      <w:rFonts w:ascii="SimSun" w:eastAsia="SimSun" w:hAnsi="Calibri" w:cs="Times New Roman"/>
      <w:b/>
      <w:bCs/>
      <w:color w:val="000000"/>
      <w:sz w:val="32"/>
      <w:szCs w:val="32"/>
      <w:lang w:val="en-GB" w:eastAsia="fr-FR"/>
    </w:rPr>
  </w:style>
  <w:style w:type="paragraph" w:styleId="Header">
    <w:name w:val="header"/>
    <w:basedOn w:val="Normal"/>
    <w:link w:val="HeaderChar"/>
    <w:unhideWhenUsed/>
    <w:rsid w:val="00600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AFA"/>
  </w:style>
  <w:style w:type="paragraph" w:styleId="Footer">
    <w:name w:val="footer"/>
    <w:basedOn w:val="Normal"/>
    <w:link w:val="FooterChar"/>
    <w:unhideWhenUsed/>
    <w:rsid w:val="00600AFA"/>
    <w:pPr>
      <w:tabs>
        <w:tab w:val="center" w:pos="4513"/>
        <w:tab w:val="right" w:pos="9026"/>
      </w:tabs>
      <w:spacing w:after="0" w:line="240" w:lineRule="auto"/>
    </w:pPr>
  </w:style>
  <w:style w:type="character" w:customStyle="1" w:styleId="FooterChar">
    <w:name w:val="Footer Char"/>
    <w:basedOn w:val="DefaultParagraphFont"/>
    <w:link w:val="Footer"/>
    <w:rsid w:val="00600AFA"/>
  </w:style>
  <w:style w:type="paragraph" w:customStyle="1" w:styleId="Abstract">
    <w:name w:val="Abstract"/>
    <w:basedOn w:val="Heading1"/>
    <w:rsid w:val="00D54AFB"/>
    <w:pPr>
      <w:keepLines w:val="0"/>
      <w:tabs>
        <w:tab w:val="num" w:pos="3312"/>
      </w:tabs>
      <w:spacing w:before="40" w:line="240" w:lineRule="auto"/>
      <w:outlineLvl w:val="9"/>
    </w:pPr>
    <w:rPr>
      <w:rFonts w:ascii="Times New Roman" w:eastAsia="Times New Roman" w:hAnsi="Times New Roman" w:cs="Times New Roman"/>
      <w:color w:val="auto"/>
      <w:kern w:val="28"/>
      <w:sz w:val="24"/>
      <w:szCs w:val="24"/>
      <w:lang w:eastAsia="fr-FR"/>
    </w:rPr>
  </w:style>
  <w:style w:type="character" w:customStyle="1" w:styleId="Heading1Char">
    <w:name w:val="Heading 1 Char"/>
    <w:basedOn w:val="DefaultParagraphFont"/>
    <w:link w:val="Heading1"/>
    <w:uiPriority w:val="9"/>
    <w:rsid w:val="00D54AF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731B1"/>
    <w:pPr>
      <w:ind w:left="720"/>
    </w:pPr>
    <w:rPr>
      <w:rFonts w:ascii="Calibri" w:eastAsia="SimSun" w:hAnsi="Calibri" w:cs="Times New Roman"/>
      <w:lang w:val="en-US" w:eastAsia="zh-CN"/>
    </w:rPr>
  </w:style>
  <w:style w:type="paragraph" w:customStyle="1" w:styleId="Titre1">
    <w:name w:val="Titre1"/>
    <w:basedOn w:val="Normal"/>
    <w:rsid w:val="00927687"/>
    <w:pPr>
      <w:spacing w:before="100" w:beforeAutospacing="1" w:after="100" w:afterAutospacing="1" w:line="240" w:lineRule="auto"/>
    </w:pPr>
    <w:rPr>
      <w:rFonts w:ascii="Times New Roman" w:eastAsia="Arial Unicode MS" w:hAnsi="Times New Roman" w:cs="Times New Roman"/>
      <w:color w:val="000000"/>
      <w:sz w:val="36"/>
      <w:szCs w:val="36"/>
      <w:lang w:eastAsia="fr-FR"/>
    </w:rPr>
  </w:style>
  <w:style w:type="paragraph" w:customStyle="1" w:styleId="PrformatHTML1">
    <w:name w:val="Préformaté HTML1"/>
    <w:basedOn w:val="Normal"/>
    <w:rsid w:val="00F16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pagecontents">
    <w:name w:val="pagecontents"/>
    <w:basedOn w:val="Normal"/>
    <w:rsid w:val="00F16086"/>
    <w:pPr>
      <w:spacing w:before="100" w:beforeAutospacing="1" w:after="100" w:afterAutospacing="1" w:line="240" w:lineRule="auto"/>
    </w:pPr>
    <w:rPr>
      <w:rFonts w:ascii="Verdana" w:eastAsia="Times New Roman" w:hAnsi="Verdana" w:cs="Times New Roman"/>
      <w:color w:val="000000"/>
      <w:sz w:val="17"/>
      <w:szCs w:val="17"/>
      <w:lang w:val="en-GB" w:eastAsia="en-GB"/>
    </w:rPr>
  </w:style>
  <w:style w:type="character" w:styleId="FootnoteReference">
    <w:name w:val="footnote reference"/>
    <w:uiPriority w:val="99"/>
    <w:rsid w:val="008F671B"/>
    <w:rPr>
      <w:rFonts w:cs="Times New Roman"/>
      <w:vertAlign w:val="superscript"/>
    </w:rPr>
  </w:style>
  <w:style w:type="paragraph" w:styleId="BodyTextIndent">
    <w:name w:val="Body Text Indent"/>
    <w:basedOn w:val="Normal"/>
    <w:link w:val="BodyTextIndentChar"/>
    <w:uiPriority w:val="99"/>
    <w:semiHidden/>
    <w:unhideWhenUsed/>
    <w:rsid w:val="00D36B95"/>
    <w:pPr>
      <w:spacing w:after="120"/>
      <w:ind w:left="283"/>
    </w:pPr>
  </w:style>
  <w:style w:type="character" w:customStyle="1" w:styleId="BodyTextIndentChar">
    <w:name w:val="Body Text Indent Char"/>
    <w:basedOn w:val="DefaultParagraphFont"/>
    <w:link w:val="BodyTextIndent"/>
    <w:uiPriority w:val="99"/>
    <w:semiHidden/>
    <w:rsid w:val="00D36B95"/>
  </w:style>
  <w:style w:type="paragraph" w:styleId="NormalWeb">
    <w:name w:val="Normal (Web)"/>
    <w:basedOn w:val="Normal"/>
    <w:uiPriority w:val="99"/>
    <w:semiHidden/>
    <w:unhideWhenUsed/>
    <w:rsid w:val="003C7D16"/>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31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3120DF"/>
    <w:rPr>
      <w:rFonts w:ascii="Courier New" w:eastAsia="Times New Roman" w:hAnsi="Courier New" w:cs="Courier New"/>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4A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2E9E"/>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A5">
    <w:name w:val="A5"/>
    <w:uiPriority w:val="99"/>
    <w:rsid w:val="00C32E9E"/>
    <w:rPr>
      <w:rFonts w:cs="Myriad Pro Light"/>
      <w:b/>
      <w:bCs/>
      <w:color w:val="221E1F"/>
      <w:sz w:val="20"/>
      <w:szCs w:val="20"/>
    </w:rPr>
  </w:style>
  <w:style w:type="character" w:styleId="Hyperlink">
    <w:name w:val="Hyperlink"/>
    <w:basedOn w:val="DefaultParagraphFont"/>
    <w:uiPriority w:val="99"/>
    <w:unhideWhenUsed/>
    <w:rsid w:val="00DF51D1"/>
    <w:rPr>
      <w:color w:val="0000FF" w:themeColor="hyperlink"/>
      <w:u w:val="single"/>
    </w:rPr>
  </w:style>
  <w:style w:type="paragraph" w:styleId="BodyText2">
    <w:name w:val="Body Text 2"/>
    <w:basedOn w:val="Normal"/>
    <w:link w:val="BodyText2Char"/>
    <w:rsid w:val="00600AFA"/>
    <w:pPr>
      <w:spacing w:after="0" w:line="240" w:lineRule="auto"/>
      <w:jc w:val="center"/>
    </w:pPr>
    <w:rPr>
      <w:rFonts w:ascii="Times New Roman" w:eastAsia="Times New Roman" w:hAnsi="Times New Roman" w:cs="Times New Roman"/>
      <w:sz w:val="32"/>
      <w:szCs w:val="24"/>
      <w:u w:val="single"/>
      <w:lang w:val="en-GB"/>
    </w:rPr>
  </w:style>
  <w:style w:type="character" w:customStyle="1" w:styleId="BodyText2Char">
    <w:name w:val="Body Text 2 Char"/>
    <w:basedOn w:val="DefaultParagraphFont"/>
    <w:link w:val="BodyText2"/>
    <w:rsid w:val="00600AFA"/>
    <w:rPr>
      <w:rFonts w:ascii="Times New Roman" w:eastAsia="Times New Roman" w:hAnsi="Times New Roman" w:cs="Times New Roman"/>
      <w:sz w:val="32"/>
      <w:szCs w:val="24"/>
      <w:u w:val="single"/>
      <w:lang w:val="en-GB"/>
    </w:rPr>
  </w:style>
  <w:style w:type="paragraph" w:styleId="BodyText">
    <w:name w:val="Body Text"/>
    <w:aliases w:val=" 字元3"/>
    <w:basedOn w:val="Normal"/>
    <w:link w:val="BodyTextChar"/>
    <w:rsid w:val="00600AFA"/>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aliases w:val=" 字元3 Char"/>
    <w:basedOn w:val="DefaultParagraphFont"/>
    <w:link w:val="BodyText"/>
    <w:rsid w:val="00600AFA"/>
    <w:rPr>
      <w:rFonts w:ascii="Times New Roman" w:eastAsia="Times New Roman" w:hAnsi="Times New Roman" w:cs="Times New Roman"/>
      <w:sz w:val="24"/>
      <w:szCs w:val="24"/>
      <w:lang w:val="en-GB"/>
    </w:rPr>
  </w:style>
  <w:style w:type="paragraph" w:customStyle="1" w:styleId="xHeadChapB">
    <w:name w:val="xHeadChapB"/>
    <w:basedOn w:val="Normal"/>
    <w:rsid w:val="00600AFA"/>
    <w:pPr>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bCs/>
      <w:sz w:val="36"/>
      <w:szCs w:val="36"/>
      <w:lang w:val="en-AU"/>
    </w:rPr>
  </w:style>
  <w:style w:type="paragraph" w:customStyle="1" w:styleId="TITRE">
    <w:name w:val="TITRE"/>
    <w:basedOn w:val="Normal"/>
    <w:uiPriority w:val="99"/>
    <w:rsid w:val="00600AFA"/>
    <w:pPr>
      <w:spacing w:after="0" w:line="240" w:lineRule="auto"/>
      <w:ind w:right="562"/>
      <w:jc w:val="center"/>
    </w:pPr>
    <w:rPr>
      <w:rFonts w:ascii="SimSun" w:eastAsia="SimSun" w:hAnsi="Calibri" w:cs="Times New Roman"/>
      <w:b/>
      <w:bCs/>
      <w:color w:val="000000"/>
      <w:sz w:val="32"/>
      <w:szCs w:val="32"/>
      <w:lang w:val="en-GB" w:eastAsia="fr-FR"/>
    </w:rPr>
  </w:style>
  <w:style w:type="paragraph" w:styleId="Header">
    <w:name w:val="header"/>
    <w:basedOn w:val="Normal"/>
    <w:link w:val="HeaderChar"/>
    <w:unhideWhenUsed/>
    <w:rsid w:val="00600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AFA"/>
  </w:style>
  <w:style w:type="paragraph" w:styleId="Footer">
    <w:name w:val="footer"/>
    <w:basedOn w:val="Normal"/>
    <w:link w:val="FooterChar"/>
    <w:unhideWhenUsed/>
    <w:rsid w:val="00600AFA"/>
    <w:pPr>
      <w:tabs>
        <w:tab w:val="center" w:pos="4513"/>
        <w:tab w:val="right" w:pos="9026"/>
      </w:tabs>
      <w:spacing w:after="0" w:line="240" w:lineRule="auto"/>
    </w:pPr>
  </w:style>
  <w:style w:type="character" w:customStyle="1" w:styleId="FooterChar">
    <w:name w:val="Footer Char"/>
    <w:basedOn w:val="DefaultParagraphFont"/>
    <w:link w:val="Footer"/>
    <w:rsid w:val="00600AFA"/>
  </w:style>
  <w:style w:type="paragraph" w:customStyle="1" w:styleId="Abstract">
    <w:name w:val="Abstract"/>
    <w:basedOn w:val="Heading1"/>
    <w:rsid w:val="00D54AFB"/>
    <w:pPr>
      <w:keepLines w:val="0"/>
      <w:tabs>
        <w:tab w:val="num" w:pos="3312"/>
      </w:tabs>
      <w:spacing w:before="40" w:line="240" w:lineRule="auto"/>
      <w:outlineLvl w:val="9"/>
    </w:pPr>
    <w:rPr>
      <w:rFonts w:ascii="Times New Roman" w:eastAsia="Times New Roman" w:hAnsi="Times New Roman" w:cs="Times New Roman"/>
      <w:color w:val="auto"/>
      <w:kern w:val="28"/>
      <w:sz w:val="24"/>
      <w:szCs w:val="24"/>
      <w:lang w:eastAsia="fr-FR"/>
    </w:rPr>
  </w:style>
  <w:style w:type="character" w:customStyle="1" w:styleId="Heading1Char">
    <w:name w:val="Heading 1 Char"/>
    <w:basedOn w:val="DefaultParagraphFont"/>
    <w:link w:val="Heading1"/>
    <w:uiPriority w:val="9"/>
    <w:rsid w:val="00D54AF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731B1"/>
    <w:pPr>
      <w:ind w:left="720"/>
    </w:pPr>
    <w:rPr>
      <w:rFonts w:ascii="Calibri" w:eastAsia="SimSun" w:hAnsi="Calibri" w:cs="Times New Roman"/>
      <w:lang w:val="en-US" w:eastAsia="zh-CN"/>
    </w:rPr>
  </w:style>
  <w:style w:type="paragraph" w:customStyle="1" w:styleId="Titre1">
    <w:name w:val="Titre1"/>
    <w:basedOn w:val="Normal"/>
    <w:rsid w:val="00927687"/>
    <w:pPr>
      <w:spacing w:before="100" w:beforeAutospacing="1" w:after="100" w:afterAutospacing="1" w:line="240" w:lineRule="auto"/>
    </w:pPr>
    <w:rPr>
      <w:rFonts w:ascii="Times New Roman" w:eastAsia="Arial Unicode MS" w:hAnsi="Times New Roman" w:cs="Times New Roman"/>
      <w:color w:val="000000"/>
      <w:sz w:val="36"/>
      <w:szCs w:val="36"/>
      <w:lang w:eastAsia="fr-FR"/>
    </w:rPr>
  </w:style>
  <w:style w:type="paragraph" w:customStyle="1" w:styleId="PrformatHTML1">
    <w:name w:val="Préformaté HTML1"/>
    <w:basedOn w:val="Normal"/>
    <w:rsid w:val="00F16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pagecontents">
    <w:name w:val="pagecontents"/>
    <w:basedOn w:val="Normal"/>
    <w:rsid w:val="00F16086"/>
    <w:pPr>
      <w:spacing w:before="100" w:beforeAutospacing="1" w:after="100" w:afterAutospacing="1" w:line="240" w:lineRule="auto"/>
    </w:pPr>
    <w:rPr>
      <w:rFonts w:ascii="Verdana" w:eastAsia="Times New Roman" w:hAnsi="Verdana" w:cs="Times New Roman"/>
      <w:color w:val="000000"/>
      <w:sz w:val="17"/>
      <w:szCs w:val="17"/>
      <w:lang w:val="en-GB" w:eastAsia="en-GB"/>
    </w:rPr>
  </w:style>
  <w:style w:type="character" w:styleId="FootnoteReference">
    <w:name w:val="footnote reference"/>
    <w:uiPriority w:val="99"/>
    <w:rsid w:val="008F671B"/>
    <w:rPr>
      <w:rFonts w:cs="Times New Roman"/>
      <w:vertAlign w:val="superscript"/>
    </w:rPr>
  </w:style>
  <w:style w:type="paragraph" w:styleId="BodyTextIndent">
    <w:name w:val="Body Text Indent"/>
    <w:basedOn w:val="Normal"/>
    <w:link w:val="BodyTextIndentChar"/>
    <w:uiPriority w:val="99"/>
    <w:semiHidden/>
    <w:unhideWhenUsed/>
    <w:rsid w:val="00D36B95"/>
    <w:pPr>
      <w:spacing w:after="120"/>
      <w:ind w:left="283"/>
    </w:pPr>
  </w:style>
  <w:style w:type="character" w:customStyle="1" w:styleId="BodyTextIndentChar">
    <w:name w:val="Body Text Indent Char"/>
    <w:basedOn w:val="DefaultParagraphFont"/>
    <w:link w:val="BodyTextIndent"/>
    <w:uiPriority w:val="99"/>
    <w:semiHidden/>
    <w:rsid w:val="00D36B95"/>
  </w:style>
  <w:style w:type="paragraph" w:styleId="NormalWeb">
    <w:name w:val="Normal (Web)"/>
    <w:basedOn w:val="Normal"/>
    <w:uiPriority w:val="99"/>
    <w:semiHidden/>
    <w:unhideWhenUsed/>
    <w:rsid w:val="003C7D16"/>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31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3120DF"/>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5585">
      <w:bodyDiv w:val="1"/>
      <w:marLeft w:val="0"/>
      <w:marRight w:val="0"/>
      <w:marTop w:val="0"/>
      <w:marBottom w:val="0"/>
      <w:divBdr>
        <w:top w:val="none" w:sz="0" w:space="0" w:color="auto"/>
        <w:left w:val="none" w:sz="0" w:space="0" w:color="auto"/>
        <w:bottom w:val="none" w:sz="0" w:space="0" w:color="auto"/>
        <w:right w:val="none" w:sz="0" w:space="0" w:color="auto"/>
      </w:divBdr>
    </w:div>
    <w:div w:id="973565353">
      <w:bodyDiv w:val="1"/>
      <w:marLeft w:val="0"/>
      <w:marRight w:val="0"/>
      <w:marTop w:val="0"/>
      <w:marBottom w:val="0"/>
      <w:divBdr>
        <w:top w:val="none" w:sz="0" w:space="0" w:color="auto"/>
        <w:left w:val="none" w:sz="0" w:space="0" w:color="auto"/>
        <w:bottom w:val="none" w:sz="0" w:space="0" w:color="auto"/>
        <w:right w:val="none" w:sz="0" w:space="0" w:color="auto"/>
      </w:divBdr>
    </w:div>
    <w:div w:id="213525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D57AF90-0A7F-4556-A582-BA4664CFD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1147</Words>
  <Characters>6541</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Heriot-Watt University</Company>
  <LinksUpToDate>false</LinksUpToDate>
  <CharactersWithSpaces>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Towers</dc:creator>
  <cp:lastModifiedBy>TOWERS, Neil (Prof)</cp:lastModifiedBy>
  <cp:revision>5</cp:revision>
  <dcterms:created xsi:type="dcterms:W3CDTF">2016-06-17T11:31:00Z</dcterms:created>
  <dcterms:modified xsi:type="dcterms:W3CDTF">2016-06-17T12:30:00Z</dcterms:modified>
</cp:coreProperties>
</file>