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FA" w:rsidRPr="00995C08" w:rsidRDefault="00600AFA" w:rsidP="006D04AF">
      <w:pPr>
        <w:spacing w:after="0" w:line="240" w:lineRule="auto"/>
        <w:jc w:val="both"/>
        <w:rPr>
          <w:rFonts w:ascii="Verdana" w:hAnsi="Verdana"/>
          <w:b/>
          <w:noProof/>
          <w:sz w:val="20"/>
          <w:szCs w:val="20"/>
          <w:lang w:val="en-GB"/>
        </w:rPr>
      </w:pPr>
      <w:r w:rsidRPr="00995C08">
        <w:rPr>
          <w:rFonts w:ascii="Verdana" w:hAnsi="Verdana"/>
          <w:b/>
          <w:noProof/>
          <w:sz w:val="20"/>
          <w:szCs w:val="20"/>
          <w:lang w:val="en-GB"/>
        </w:rPr>
        <w:t>Editorial</w:t>
      </w:r>
    </w:p>
    <w:p w:rsidR="00600AFA" w:rsidRPr="00995C08" w:rsidRDefault="00600AFA" w:rsidP="006D04AF">
      <w:pPr>
        <w:spacing w:after="0" w:line="240" w:lineRule="auto"/>
        <w:jc w:val="both"/>
        <w:rPr>
          <w:rFonts w:ascii="Verdana" w:hAnsi="Verdana"/>
          <w:noProof/>
          <w:sz w:val="20"/>
          <w:szCs w:val="20"/>
          <w:lang w:val="en-GB"/>
        </w:rPr>
      </w:pPr>
    </w:p>
    <w:p w:rsidR="00B51206" w:rsidRPr="00995C08" w:rsidRDefault="00550BCA" w:rsidP="006D04AF">
      <w:pPr>
        <w:spacing w:after="0" w:line="240" w:lineRule="auto"/>
        <w:jc w:val="both"/>
        <w:rPr>
          <w:rFonts w:ascii="Verdana" w:hAnsi="Verdana" w:cs="Times New Roman"/>
          <w:sz w:val="20"/>
          <w:szCs w:val="20"/>
          <w:lang w:val="en-GB"/>
        </w:rPr>
      </w:pPr>
      <w:r w:rsidRPr="00995C08">
        <w:rPr>
          <w:rFonts w:ascii="Verdana" w:hAnsi="Verdana" w:cs="Myriad Pro Light"/>
          <w:bCs/>
          <w:noProof/>
          <w:sz w:val="20"/>
          <w:szCs w:val="20"/>
          <w:lang w:val="en-GB"/>
        </w:rPr>
        <w:t>The</w:t>
      </w:r>
      <w:r w:rsidR="00497185" w:rsidRPr="00995C08">
        <w:rPr>
          <w:rFonts w:ascii="Verdana" w:hAnsi="Verdana" w:cs="Myriad Pro Light"/>
          <w:bCs/>
          <w:noProof/>
          <w:sz w:val="20"/>
          <w:szCs w:val="20"/>
          <w:lang w:val="en-GB"/>
        </w:rPr>
        <w:t xml:space="preserve"> </w:t>
      </w:r>
      <w:r w:rsidR="00672C1E" w:rsidRPr="00995C08">
        <w:rPr>
          <w:rFonts w:ascii="Verdana" w:hAnsi="Verdana" w:cs="Myriad Pro Light"/>
          <w:bCs/>
          <w:noProof/>
          <w:sz w:val="20"/>
          <w:szCs w:val="20"/>
          <w:lang w:val="en-GB"/>
        </w:rPr>
        <w:t>focus</w:t>
      </w:r>
      <w:r w:rsidR="00497185" w:rsidRPr="00995C08">
        <w:rPr>
          <w:rFonts w:ascii="Verdana" w:hAnsi="Verdana" w:cs="Myriad Pro Light"/>
          <w:bCs/>
          <w:noProof/>
          <w:sz w:val="20"/>
          <w:szCs w:val="20"/>
          <w:lang w:val="en-GB"/>
        </w:rPr>
        <w:t xml:space="preserve"> of </w:t>
      </w:r>
      <w:r w:rsidR="00AC2911" w:rsidRPr="00995C08">
        <w:rPr>
          <w:rFonts w:ascii="Verdana" w:hAnsi="Verdana" w:cs="Myriad Pro Light"/>
          <w:bCs/>
          <w:noProof/>
          <w:sz w:val="20"/>
          <w:szCs w:val="20"/>
          <w:lang w:val="en-GB"/>
        </w:rPr>
        <w:t>this</w:t>
      </w:r>
      <w:r w:rsidR="009C3AFC" w:rsidRPr="00995C08">
        <w:rPr>
          <w:rFonts w:ascii="Verdana" w:hAnsi="Verdana" w:cs="Myriad Pro Light"/>
          <w:bCs/>
          <w:noProof/>
          <w:sz w:val="20"/>
          <w:szCs w:val="20"/>
          <w:lang w:val="en-GB"/>
        </w:rPr>
        <w:t xml:space="preserve"> issue </w:t>
      </w:r>
      <w:r w:rsidR="00B12275" w:rsidRPr="00995C08">
        <w:rPr>
          <w:rFonts w:ascii="Verdana" w:hAnsi="Verdana" w:cs="Myriad Pro Light"/>
          <w:bCs/>
          <w:noProof/>
          <w:sz w:val="20"/>
          <w:szCs w:val="20"/>
          <w:lang w:val="en-GB"/>
        </w:rPr>
        <w:t xml:space="preserve">is </w:t>
      </w:r>
      <w:r w:rsidR="000211C0">
        <w:rPr>
          <w:rFonts w:ascii="Verdana" w:hAnsi="Verdana" w:cs="Myriad Pro Light"/>
          <w:bCs/>
          <w:noProof/>
          <w:sz w:val="20"/>
          <w:szCs w:val="20"/>
          <w:lang w:val="en-GB"/>
        </w:rPr>
        <w:t>a mixture of digital retailing, external influences on retailing and retail brand development</w:t>
      </w:r>
      <w:bookmarkStart w:id="0" w:name="_GoBack"/>
      <w:bookmarkEnd w:id="0"/>
      <w:r w:rsidR="006D04AF" w:rsidRPr="00995C08">
        <w:rPr>
          <w:rFonts w:ascii="Verdana" w:hAnsi="Verdana" w:cs="Myriad Pro Light"/>
          <w:bCs/>
          <w:noProof/>
          <w:sz w:val="20"/>
          <w:szCs w:val="20"/>
          <w:lang w:val="en-GB"/>
        </w:rPr>
        <w:t>.</w:t>
      </w:r>
      <w:r w:rsidR="009C3481" w:rsidRPr="00995C08">
        <w:rPr>
          <w:rFonts w:ascii="Verdana" w:hAnsi="Verdana" w:cs="Myriad Pro Light"/>
          <w:bCs/>
          <w:noProof/>
          <w:sz w:val="20"/>
          <w:szCs w:val="20"/>
          <w:lang w:val="en-GB"/>
        </w:rPr>
        <w:t xml:space="preserve"> </w:t>
      </w:r>
      <w:r w:rsidR="00497185" w:rsidRPr="00995C08">
        <w:rPr>
          <w:rFonts w:ascii="Verdana" w:hAnsi="Verdana" w:cs="Myriad Pro Light"/>
          <w:bCs/>
          <w:noProof/>
          <w:sz w:val="20"/>
          <w:szCs w:val="20"/>
          <w:lang w:val="en-GB"/>
        </w:rPr>
        <w:t>The</w:t>
      </w:r>
      <w:r w:rsidR="00FA4250" w:rsidRPr="00995C08">
        <w:rPr>
          <w:rFonts w:ascii="Verdana" w:hAnsi="Verdana" w:cs="Myriad Pro Light"/>
          <w:bCs/>
          <w:noProof/>
          <w:sz w:val="20"/>
          <w:szCs w:val="20"/>
          <w:lang w:val="en-GB"/>
        </w:rPr>
        <w:t>se</w:t>
      </w:r>
      <w:r w:rsidR="00497185" w:rsidRPr="00995C08">
        <w:rPr>
          <w:rFonts w:ascii="Verdana" w:hAnsi="Verdana" w:cs="Myriad Pro Light"/>
          <w:bCs/>
          <w:noProof/>
          <w:sz w:val="20"/>
          <w:szCs w:val="20"/>
          <w:lang w:val="en-GB"/>
        </w:rPr>
        <w:t xml:space="preserve"> </w:t>
      </w:r>
      <w:r w:rsidR="003E5F38" w:rsidRPr="00995C08">
        <w:rPr>
          <w:rFonts w:ascii="Verdana" w:hAnsi="Verdana" w:cs="Myriad Pro Light"/>
          <w:bCs/>
          <w:noProof/>
          <w:sz w:val="20"/>
          <w:szCs w:val="20"/>
          <w:lang w:val="en-GB"/>
        </w:rPr>
        <w:t>includ</w:t>
      </w:r>
      <w:r w:rsidRPr="00995C08">
        <w:rPr>
          <w:rFonts w:ascii="Verdana" w:hAnsi="Verdana" w:cs="Myriad Pro Light"/>
          <w:bCs/>
          <w:noProof/>
          <w:sz w:val="20"/>
          <w:szCs w:val="20"/>
          <w:lang w:val="en-GB"/>
        </w:rPr>
        <w:t>e</w:t>
      </w:r>
      <w:r w:rsidR="006D04AF" w:rsidRPr="00995C08">
        <w:rPr>
          <w:rFonts w:ascii="Verdana" w:hAnsi="Verdana" w:cs="Times New Roman"/>
          <w:sz w:val="20"/>
          <w:szCs w:val="20"/>
          <w:lang w:val="en-GB"/>
        </w:rPr>
        <w:t xml:space="preserve"> </w:t>
      </w:r>
      <w:r w:rsidR="00003BAD">
        <w:rPr>
          <w:rFonts w:ascii="Verdana" w:hAnsi="Verdana"/>
          <w:iCs/>
          <w:sz w:val="20"/>
          <w:szCs w:val="20"/>
          <w:lang w:val="en-GB"/>
        </w:rPr>
        <w:t>the impact of category management on small, US based local retailers</w:t>
      </w:r>
      <w:r w:rsidR="00B51206" w:rsidRPr="00995C08">
        <w:rPr>
          <w:rFonts w:ascii="Verdana" w:hAnsi="Verdana"/>
          <w:iCs/>
          <w:sz w:val="20"/>
          <w:szCs w:val="20"/>
          <w:lang w:val="en-GB"/>
        </w:rPr>
        <w:t xml:space="preserve">, </w:t>
      </w:r>
      <w:r w:rsidR="000211C0" w:rsidRPr="000211C0">
        <w:rPr>
          <w:rFonts w:ascii="Verdana" w:hAnsi="Verdana"/>
          <w:iCs/>
          <w:sz w:val="20"/>
          <w:szCs w:val="20"/>
          <w:lang w:val="en-GB"/>
        </w:rPr>
        <w:t>the phenomenon of the digitalization of retailing</w:t>
      </w:r>
      <w:r w:rsidR="000963A7" w:rsidRPr="00995C08">
        <w:rPr>
          <w:rFonts w:ascii="Verdana" w:hAnsi="Verdana"/>
          <w:iCs/>
          <w:sz w:val="20"/>
          <w:szCs w:val="20"/>
          <w:lang w:val="en-GB"/>
        </w:rPr>
        <w:t xml:space="preserve">, </w:t>
      </w:r>
      <w:r w:rsidR="000211C0" w:rsidRPr="000211C0">
        <w:rPr>
          <w:rFonts w:ascii="Verdana" w:hAnsi="Verdana"/>
          <w:iCs/>
          <w:sz w:val="20"/>
          <w:szCs w:val="20"/>
          <w:lang w:val="en-GB"/>
        </w:rPr>
        <w:t>the antecedents and consequences of trust in online shopping</w:t>
      </w:r>
      <w:r w:rsidR="000963A7" w:rsidRPr="00995C08">
        <w:rPr>
          <w:rFonts w:ascii="Verdana" w:hAnsi="Verdana"/>
          <w:iCs/>
          <w:sz w:val="20"/>
          <w:szCs w:val="20"/>
          <w:lang w:val="en-GB"/>
        </w:rPr>
        <w:t xml:space="preserve">, </w:t>
      </w:r>
      <w:r w:rsidR="000211C0" w:rsidRPr="000211C0">
        <w:rPr>
          <w:rFonts w:ascii="Verdana" w:hAnsi="Verdana"/>
          <w:iCs/>
          <w:sz w:val="20"/>
          <w:szCs w:val="20"/>
          <w:lang w:val="en-GB"/>
        </w:rPr>
        <w:t>the relationship between weather and retail shopping behaviour</w:t>
      </w:r>
      <w:r w:rsidR="000963A7" w:rsidRPr="00995C08">
        <w:rPr>
          <w:rFonts w:ascii="Verdana" w:hAnsi="Verdana"/>
          <w:iCs/>
          <w:sz w:val="20"/>
          <w:szCs w:val="20"/>
          <w:lang w:val="en-GB"/>
        </w:rPr>
        <w:t xml:space="preserve"> and </w:t>
      </w:r>
      <w:r w:rsidR="000211C0" w:rsidRPr="000211C0">
        <w:rPr>
          <w:rFonts w:ascii="Verdana" w:hAnsi="Verdana"/>
          <w:iCs/>
          <w:sz w:val="20"/>
          <w:szCs w:val="20"/>
          <w:lang w:val="en-GB"/>
        </w:rPr>
        <w:t>the relationships between the different phases of the store brand evaluative process</w:t>
      </w:r>
      <w:r w:rsidR="000963A7" w:rsidRPr="00995C08">
        <w:rPr>
          <w:rFonts w:ascii="Verdana" w:hAnsi="Verdana"/>
          <w:iCs/>
          <w:sz w:val="20"/>
          <w:szCs w:val="20"/>
          <w:lang w:val="en-GB"/>
        </w:rPr>
        <w:t xml:space="preserve">. </w:t>
      </w:r>
    </w:p>
    <w:p w:rsidR="00866C66" w:rsidRPr="00995C08" w:rsidRDefault="00866C66" w:rsidP="006D04AF">
      <w:pPr>
        <w:spacing w:after="0" w:line="240" w:lineRule="auto"/>
        <w:jc w:val="both"/>
        <w:rPr>
          <w:rFonts w:ascii="Verdana" w:hAnsi="Verdana"/>
          <w:iCs/>
          <w:sz w:val="20"/>
          <w:szCs w:val="20"/>
          <w:lang w:val="en-GB"/>
        </w:rPr>
      </w:pPr>
    </w:p>
    <w:p w:rsidR="00034447" w:rsidRPr="00995C08" w:rsidRDefault="00034447" w:rsidP="00034447">
      <w:pPr>
        <w:spacing w:after="0" w:line="240" w:lineRule="auto"/>
        <w:jc w:val="both"/>
        <w:rPr>
          <w:rFonts w:ascii="Verdana" w:hAnsi="Verdana"/>
          <w:bCs/>
          <w:iCs/>
          <w:sz w:val="20"/>
          <w:szCs w:val="20"/>
          <w:lang w:val="en-GB"/>
        </w:rPr>
      </w:pPr>
      <w:r w:rsidRPr="00995C08">
        <w:rPr>
          <w:rFonts w:ascii="Verdana" w:hAnsi="Verdana"/>
          <w:bCs/>
          <w:iCs/>
          <w:sz w:val="20"/>
          <w:szCs w:val="20"/>
          <w:lang w:val="en-GB"/>
        </w:rPr>
        <w:t xml:space="preserve">The motivation </w:t>
      </w:r>
      <w:r w:rsidRPr="00995C08">
        <w:rPr>
          <w:rFonts w:ascii="Verdana" w:hAnsi="Verdana"/>
          <w:iCs/>
          <w:sz w:val="20"/>
          <w:szCs w:val="20"/>
          <w:lang w:val="en-GB"/>
        </w:rPr>
        <w:t>for t</w:t>
      </w:r>
      <w:r w:rsidR="00B51206" w:rsidRPr="00995C08">
        <w:rPr>
          <w:rFonts w:ascii="Verdana" w:hAnsi="Verdana"/>
          <w:iCs/>
          <w:sz w:val="20"/>
          <w:szCs w:val="20"/>
          <w:lang w:val="en-GB"/>
        </w:rPr>
        <w:t xml:space="preserve">he first paper by </w:t>
      </w:r>
      <w:r w:rsidRPr="00995C08">
        <w:rPr>
          <w:rFonts w:ascii="Verdana" w:hAnsi="Verdana"/>
          <w:iCs/>
          <w:sz w:val="20"/>
          <w:szCs w:val="20"/>
          <w:lang w:val="en-GB"/>
        </w:rPr>
        <w:t xml:space="preserve">Hamister and </w:t>
      </w:r>
      <w:proofErr w:type="spellStart"/>
      <w:r w:rsidRPr="00995C08">
        <w:rPr>
          <w:rFonts w:ascii="Verdana" w:hAnsi="Verdana" w:cs="Arial"/>
          <w:sz w:val="20"/>
          <w:szCs w:val="20"/>
          <w:lang w:val="en-GB"/>
        </w:rPr>
        <w:t>Fortsch</w:t>
      </w:r>
      <w:proofErr w:type="spellEnd"/>
      <w:r w:rsidRPr="00995C08">
        <w:rPr>
          <w:rFonts w:ascii="Verdana" w:hAnsi="Verdana"/>
          <w:bCs/>
          <w:iCs/>
          <w:sz w:val="20"/>
          <w:szCs w:val="20"/>
          <w:lang w:val="en-GB"/>
        </w:rPr>
        <w:t xml:space="preserve"> was to determine the performance impact for small, local retailers by the means of Category Management (CM) practice and implementation, and the degree to which those practices are deployed in developed economies. A survey based on existing scales was developed and distributed to small retailers in upstate New York, for which a total of 79 valid responses were received. The results suggest CM practices have a positive impact on the performance of small, local retailers. Category Captain and Minor Supplier performances are also positively related to CM execution. CM practices, however, do not have a direct significant influence on Minor Supplier performance, but rather have a cumulative impact through Category Captain and CM performances. Small retailers should implement CM principles informally to match with their specific limited resources and management structures. Additionally, results from this study also suggest that local retailers may benefit from leveraging suppliers through tighter relationships encompassed within CM.</w:t>
      </w:r>
    </w:p>
    <w:p w:rsidR="00B51206" w:rsidRPr="00995C08" w:rsidRDefault="00B51206" w:rsidP="00B51206">
      <w:pPr>
        <w:spacing w:after="0" w:line="240" w:lineRule="auto"/>
        <w:jc w:val="both"/>
        <w:rPr>
          <w:rFonts w:ascii="Verdana" w:hAnsi="Verdana"/>
          <w:b/>
          <w:bCs/>
          <w:iCs/>
          <w:sz w:val="20"/>
          <w:szCs w:val="20"/>
          <w:lang w:val="en-GB"/>
        </w:rPr>
      </w:pPr>
    </w:p>
    <w:p w:rsidR="00034447" w:rsidRPr="00995C08" w:rsidRDefault="00034447" w:rsidP="00034447">
      <w:pPr>
        <w:spacing w:after="0" w:line="240" w:lineRule="auto"/>
        <w:jc w:val="both"/>
        <w:rPr>
          <w:rFonts w:ascii="Verdana" w:hAnsi="Verdana"/>
          <w:iCs/>
          <w:sz w:val="20"/>
          <w:szCs w:val="20"/>
          <w:lang w:val="en-GB"/>
        </w:rPr>
      </w:pPr>
      <w:r w:rsidRPr="00995C08">
        <w:rPr>
          <w:rFonts w:ascii="Verdana" w:hAnsi="Verdana"/>
          <w:iCs/>
          <w:sz w:val="20"/>
          <w:szCs w:val="20"/>
          <w:lang w:val="en-GB"/>
        </w:rPr>
        <w:t xml:space="preserve">Digitalization denotes an on-going transformation of great importance for the retail sector. </w:t>
      </w:r>
      <w:r w:rsidRPr="00995C08">
        <w:rPr>
          <w:rFonts w:ascii="Verdana" w:hAnsi="Verdana"/>
          <w:bCs/>
          <w:iCs/>
          <w:sz w:val="20"/>
          <w:szCs w:val="20"/>
          <w:lang w:val="en-GB"/>
        </w:rPr>
        <w:t>T</w:t>
      </w:r>
      <w:r w:rsidR="002B177F" w:rsidRPr="00995C08">
        <w:rPr>
          <w:rFonts w:ascii="Verdana" w:hAnsi="Verdana"/>
          <w:iCs/>
          <w:sz w:val="20"/>
          <w:szCs w:val="20"/>
          <w:lang w:val="en-GB"/>
        </w:rPr>
        <w:t xml:space="preserve">he second paper by </w:t>
      </w:r>
      <w:r w:rsidRPr="00995C08">
        <w:rPr>
          <w:rFonts w:ascii="Verdana" w:hAnsi="Verdana"/>
          <w:iCs/>
          <w:sz w:val="20"/>
          <w:szCs w:val="20"/>
          <w:lang w:val="en-GB"/>
        </w:rPr>
        <w:t xml:space="preserve">Hagberg, </w:t>
      </w:r>
      <w:proofErr w:type="spellStart"/>
      <w:r w:rsidRPr="00995C08">
        <w:rPr>
          <w:rFonts w:ascii="Verdana" w:hAnsi="Verdana"/>
          <w:iCs/>
          <w:sz w:val="20"/>
          <w:szCs w:val="20"/>
          <w:lang w:val="en-GB"/>
        </w:rPr>
        <w:t>Sundstrom</w:t>
      </w:r>
      <w:proofErr w:type="spellEnd"/>
      <w:r w:rsidRPr="00995C08">
        <w:rPr>
          <w:rFonts w:ascii="Verdana" w:hAnsi="Verdana"/>
          <w:iCs/>
          <w:sz w:val="20"/>
          <w:szCs w:val="20"/>
          <w:lang w:val="en-GB"/>
        </w:rPr>
        <w:t xml:space="preserve"> and </w:t>
      </w:r>
      <w:proofErr w:type="spellStart"/>
      <w:r w:rsidRPr="00995C08">
        <w:rPr>
          <w:rFonts w:ascii="Verdana" w:hAnsi="Verdana"/>
          <w:iCs/>
          <w:sz w:val="20"/>
          <w:szCs w:val="20"/>
          <w:lang w:val="en-GB"/>
        </w:rPr>
        <w:t>Egels-Zandén</w:t>
      </w:r>
      <w:proofErr w:type="spellEnd"/>
      <w:r w:rsidRPr="00995C08">
        <w:rPr>
          <w:rFonts w:ascii="Verdana" w:hAnsi="Verdana"/>
          <w:iCs/>
          <w:sz w:val="20"/>
          <w:szCs w:val="20"/>
          <w:lang w:val="en-GB"/>
        </w:rPr>
        <w:t xml:space="preserve"> analyses the phenomenon of the digitalization of retailing by developing a conceptual framework that can be used to further delineate current transformations of the retailer-consumer interface.</w:t>
      </w:r>
      <w:r w:rsidRPr="00995C08">
        <w:rPr>
          <w:rFonts w:ascii="Verdana" w:hAnsi="Verdana"/>
          <w:bCs/>
          <w:iCs/>
          <w:sz w:val="20"/>
          <w:szCs w:val="20"/>
          <w:lang w:val="en-GB"/>
        </w:rPr>
        <w:t xml:space="preserve"> The</w:t>
      </w:r>
      <w:r w:rsidRPr="00995C08">
        <w:rPr>
          <w:rFonts w:ascii="Verdana" w:hAnsi="Verdana"/>
          <w:iCs/>
          <w:sz w:val="20"/>
          <w:szCs w:val="20"/>
          <w:lang w:val="en-GB"/>
        </w:rPr>
        <w:t xml:space="preserve"> paper develops a framework for digitalization in the retail-consumer interface that consists of four elements: exchanges, actors, offerings, and settings. </w:t>
      </w:r>
      <w:r w:rsidR="00852F0F" w:rsidRPr="00995C08">
        <w:rPr>
          <w:rFonts w:ascii="Verdana" w:hAnsi="Verdana"/>
          <w:iCs/>
          <w:sz w:val="20"/>
          <w:szCs w:val="20"/>
          <w:lang w:val="en-GB"/>
        </w:rPr>
        <w:t>The findings suggest that d</w:t>
      </w:r>
      <w:r w:rsidRPr="00995C08">
        <w:rPr>
          <w:rFonts w:ascii="Verdana" w:hAnsi="Verdana"/>
          <w:iCs/>
          <w:sz w:val="20"/>
          <w:szCs w:val="20"/>
          <w:lang w:val="en-GB"/>
        </w:rPr>
        <w:t xml:space="preserve">igitalization transforms the following: </w:t>
      </w:r>
      <w:proofErr w:type="spellStart"/>
      <w:r w:rsidRPr="00995C08">
        <w:rPr>
          <w:rFonts w:ascii="Verdana" w:hAnsi="Verdana"/>
          <w:iCs/>
          <w:sz w:val="20"/>
          <w:szCs w:val="20"/>
          <w:lang w:val="en-GB"/>
        </w:rPr>
        <w:t>i</w:t>
      </w:r>
      <w:proofErr w:type="spellEnd"/>
      <w:r w:rsidRPr="00995C08">
        <w:rPr>
          <w:rFonts w:ascii="Verdana" w:hAnsi="Verdana"/>
          <w:iCs/>
          <w:sz w:val="20"/>
          <w:szCs w:val="20"/>
          <w:lang w:val="en-GB"/>
        </w:rPr>
        <w:t xml:space="preserve">) retailing exchanges (in a number of ways and in various facets of exchange, including communications, transactions, and distribution); ii) the nature of retail offerings (blurred distinctions between products and services, what constitutes the actual offering and how it is priced); iii) retail settings (i.e., where and when retailing takes place); and iv) the actors who participate in retailing (i.e., retailers and consumers, among other parties). </w:t>
      </w:r>
      <w:r w:rsidR="00852F0F" w:rsidRPr="00995C08">
        <w:rPr>
          <w:rFonts w:ascii="Verdana" w:hAnsi="Verdana"/>
          <w:iCs/>
          <w:sz w:val="20"/>
          <w:szCs w:val="20"/>
          <w:lang w:val="en-GB"/>
        </w:rPr>
        <w:t>The</w:t>
      </w:r>
      <w:r w:rsidRPr="00995C08">
        <w:rPr>
          <w:rFonts w:ascii="Verdana" w:hAnsi="Verdana"/>
          <w:iCs/>
          <w:sz w:val="20"/>
          <w:szCs w:val="20"/>
          <w:lang w:val="en-GB"/>
        </w:rPr>
        <w:t xml:space="preserve"> paper addresses a significant and on-going transformation in retailing and develops a framework that can both guide future research and aid retail practitioners in analysing retailing’s current transformation due to digitalization. </w:t>
      </w:r>
    </w:p>
    <w:p w:rsidR="00034447" w:rsidRPr="00995C08" w:rsidRDefault="00034447" w:rsidP="000963A7">
      <w:pPr>
        <w:spacing w:after="0" w:line="240" w:lineRule="auto"/>
        <w:jc w:val="both"/>
        <w:rPr>
          <w:rFonts w:ascii="Verdana" w:hAnsi="Verdana"/>
          <w:iCs/>
          <w:sz w:val="20"/>
          <w:szCs w:val="20"/>
          <w:lang w:val="en-GB"/>
        </w:rPr>
      </w:pPr>
    </w:p>
    <w:p w:rsidR="00852F0F" w:rsidRPr="00995C08" w:rsidRDefault="00C47F94" w:rsidP="000963A7">
      <w:pPr>
        <w:spacing w:line="240" w:lineRule="auto"/>
        <w:jc w:val="both"/>
        <w:rPr>
          <w:rFonts w:ascii="Verdana" w:hAnsi="Verdana"/>
          <w:iCs/>
          <w:sz w:val="20"/>
          <w:szCs w:val="20"/>
          <w:lang w:val="en-GB"/>
        </w:rPr>
      </w:pPr>
      <w:r w:rsidRPr="00995C08">
        <w:rPr>
          <w:rFonts w:ascii="Verdana" w:hAnsi="Verdana"/>
          <w:iCs/>
          <w:sz w:val="20"/>
          <w:szCs w:val="20"/>
          <w:lang w:val="en-GB"/>
        </w:rPr>
        <w:t xml:space="preserve">The </w:t>
      </w:r>
      <w:r w:rsidR="002B177F" w:rsidRPr="00995C08">
        <w:rPr>
          <w:rFonts w:ascii="Verdana" w:hAnsi="Verdana"/>
          <w:iCs/>
          <w:sz w:val="20"/>
          <w:szCs w:val="20"/>
          <w:lang w:val="en-GB"/>
        </w:rPr>
        <w:t xml:space="preserve">third paper by </w:t>
      </w:r>
      <w:r w:rsidR="00852F0F" w:rsidRPr="00995C08">
        <w:rPr>
          <w:rFonts w:ascii="Verdana" w:hAnsi="Verdana"/>
          <w:iCs/>
          <w:sz w:val="20"/>
          <w:szCs w:val="20"/>
          <w:lang w:val="en-GB"/>
        </w:rPr>
        <w:t>Das</w:t>
      </w:r>
      <w:r w:rsidR="009D44AF" w:rsidRPr="00995C08">
        <w:rPr>
          <w:rFonts w:ascii="Verdana" w:hAnsi="Verdana"/>
          <w:iCs/>
          <w:sz w:val="20"/>
          <w:szCs w:val="20"/>
          <w:lang w:val="en-GB"/>
        </w:rPr>
        <w:t xml:space="preserve"> </w:t>
      </w:r>
      <w:r w:rsidR="00852F0F" w:rsidRPr="00995C08">
        <w:rPr>
          <w:rFonts w:ascii="Verdana" w:hAnsi="Verdana"/>
          <w:iCs/>
          <w:sz w:val="20"/>
          <w:szCs w:val="20"/>
          <w:lang w:val="en-GB"/>
        </w:rPr>
        <w:t>examines the antecedents and consequences of trust in online shopping from an e-tail branding perspective. A structured questionnaire was used to collect data online from over three hundred Indian e-tail shoppers with structural equation modelling (CB-SEM approach) used to analysis the data. The results found e-</w:t>
      </w:r>
      <w:proofErr w:type="spellStart"/>
      <w:r w:rsidR="00852F0F" w:rsidRPr="00995C08">
        <w:rPr>
          <w:rFonts w:ascii="Verdana" w:hAnsi="Verdana"/>
          <w:iCs/>
          <w:sz w:val="20"/>
          <w:szCs w:val="20"/>
          <w:lang w:val="en-GB"/>
        </w:rPr>
        <w:t>tailer</w:t>
      </w:r>
      <w:proofErr w:type="spellEnd"/>
      <w:r w:rsidR="00852F0F" w:rsidRPr="00995C08">
        <w:rPr>
          <w:rFonts w:ascii="Verdana" w:hAnsi="Verdana"/>
          <w:iCs/>
          <w:sz w:val="20"/>
          <w:szCs w:val="20"/>
          <w:lang w:val="en-GB"/>
        </w:rPr>
        <w:t xml:space="preserve"> awareness, e-</w:t>
      </w:r>
      <w:proofErr w:type="spellStart"/>
      <w:r w:rsidR="00852F0F" w:rsidRPr="00995C08">
        <w:rPr>
          <w:rFonts w:ascii="Verdana" w:hAnsi="Verdana"/>
          <w:iCs/>
          <w:sz w:val="20"/>
          <w:szCs w:val="20"/>
          <w:lang w:val="en-GB"/>
        </w:rPr>
        <w:t>tailer</w:t>
      </w:r>
      <w:proofErr w:type="spellEnd"/>
      <w:r w:rsidR="00852F0F" w:rsidRPr="00995C08">
        <w:rPr>
          <w:rFonts w:ascii="Verdana" w:hAnsi="Verdana"/>
          <w:iCs/>
          <w:sz w:val="20"/>
          <w:szCs w:val="20"/>
          <w:lang w:val="en-GB"/>
        </w:rPr>
        <w:t xml:space="preserve"> associations, and e-</w:t>
      </w:r>
      <w:proofErr w:type="spellStart"/>
      <w:r w:rsidR="00852F0F" w:rsidRPr="00995C08">
        <w:rPr>
          <w:rFonts w:ascii="Verdana" w:hAnsi="Verdana"/>
          <w:iCs/>
          <w:sz w:val="20"/>
          <w:szCs w:val="20"/>
          <w:lang w:val="en-GB"/>
        </w:rPr>
        <w:t>tailer</w:t>
      </w:r>
      <w:proofErr w:type="spellEnd"/>
      <w:r w:rsidR="00852F0F" w:rsidRPr="00995C08">
        <w:rPr>
          <w:rFonts w:ascii="Verdana" w:hAnsi="Verdana"/>
          <w:iCs/>
          <w:sz w:val="20"/>
          <w:szCs w:val="20"/>
          <w:lang w:val="en-GB"/>
        </w:rPr>
        <w:t xml:space="preserve"> perceived quality as antecedents of trust in online shopping. The results also showed online trust positively influences the behavioural intentions namely purchase intention, repurchase and recommendation. The study examines the applicability and branding and brand management principles in an e-tail branding context. Theoretical and managerial implications of these results are further discussed. </w:t>
      </w:r>
    </w:p>
    <w:p w:rsidR="00995C08" w:rsidRPr="00995C08" w:rsidRDefault="00C47F94" w:rsidP="00852F0F">
      <w:pPr>
        <w:spacing w:after="0" w:line="240" w:lineRule="auto"/>
        <w:jc w:val="both"/>
        <w:rPr>
          <w:rFonts w:ascii="Verdana" w:hAnsi="Verdana"/>
          <w:iCs/>
          <w:sz w:val="20"/>
          <w:szCs w:val="20"/>
          <w:lang w:val="en-GB"/>
        </w:rPr>
      </w:pPr>
      <w:r w:rsidRPr="00995C08">
        <w:rPr>
          <w:rFonts w:ascii="Verdana" w:hAnsi="Verdana"/>
          <w:iCs/>
          <w:sz w:val="20"/>
          <w:szCs w:val="20"/>
          <w:lang w:val="en-GB"/>
        </w:rPr>
        <w:t xml:space="preserve">The fourth paper by </w:t>
      </w:r>
      <w:r w:rsidR="00852F0F" w:rsidRPr="00995C08">
        <w:rPr>
          <w:rFonts w:ascii="Verdana" w:hAnsi="Verdana"/>
          <w:iCs/>
          <w:sz w:val="20"/>
          <w:szCs w:val="20"/>
          <w:lang w:val="en-GB"/>
        </w:rPr>
        <w:t>Arunraj and Ahrens aims at developing a model to analyse the relationship between weather and retail shopping behavio</w:t>
      </w:r>
      <w:r w:rsidR="000211C0">
        <w:rPr>
          <w:rFonts w:ascii="Verdana" w:hAnsi="Verdana"/>
          <w:iCs/>
          <w:sz w:val="20"/>
          <w:szCs w:val="20"/>
          <w:lang w:val="en-GB"/>
        </w:rPr>
        <w:t>u</w:t>
      </w:r>
      <w:r w:rsidR="00852F0F" w:rsidRPr="00995C08">
        <w:rPr>
          <w:rFonts w:ascii="Verdana" w:hAnsi="Verdana"/>
          <w:iCs/>
          <w:sz w:val="20"/>
          <w:szCs w:val="20"/>
          <w:lang w:val="en-GB"/>
        </w:rPr>
        <w:t xml:space="preserve">r (i.e., store traffic </w:t>
      </w:r>
      <w:r w:rsidR="00852F0F" w:rsidRPr="00995C08">
        <w:rPr>
          <w:rFonts w:ascii="Verdana" w:hAnsi="Verdana"/>
          <w:iCs/>
          <w:sz w:val="20"/>
          <w:szCs w:val="20"/>
          <w:lang w:val="en-GB"/>
        </w:rPr>
        <w:lastRenderedPageBreak/>
        <w:t xml:space="preserve">and sales). The data set for this research study is obtained from two food retail stores and a fashion retail store located in </w:t>
      </w:r>
      <w:r w:rsidR="00995C08" w:rsidRPr="00995C08">
        <w:rPr>
          <w:rFonts w:ascii="Verdana" w:hAnsi="Verdana"/>
          <w:iCs/>
          <w:sz w:val="20"/>
          <w:szCs w:val="20"/>
          <w:lang w:val="en-GB"/>
        </w:rPr>
        <w:t>the</w:t>
      </w:r>
      <w:r w:rsidR="00995C08" w:rsidRPr="00995C08">
        <w:rPr>
          <w:rFonts w:ascii="Verdana" w:hAnsi="Verdana"/>
          <w:iCs/>
          <w:sz w:val="20"/>
          <w:szCs w:val="20"/>
          <w:lang w:val="en-GB"/>
        </w:rPr>
        <w:t xml:space="preserve"> same geographical location</w:t>
      </w:r>
      <w:r w:rsidR="00995C08" w:rsidRPr="00995C08">
        <w:rPr>
          <w:rFonts w:ascii="Verdana" w:hAnsi="Verdana"/>
          <w:iCs/>
          <w:sz w:val="20"/>
          <w:szCs w:val="20"/>
          <w:lang w:val="en-GB"/>
        </w:rPr>
        <w:t xml:space="preserve"> in </w:t>
      </w:r>
      <w:r w:rsidR="00852F0F" w:rsidRPr="00995C08">
        <w:rPr>
          <w:rFonts w:ascii="Verdana" w:hAnsi="Verdana"/>
          <w:iCs/>
          <w:sz w:val="20"/>
          <w:szCs w:val="20"/>
          <w:lang w:val="en-GB"/>
        </w:rPr>
        <w:t xml:space="preserve">Lower Bavaria, Germany. The weather data set was provided by a German weather service agency and </w:t>
      </w:r>
      <w:r w:rsidR="00995C08" w:rsidRPr="00995C08">
        <w:rPr>
          <w:rFonts w:ascii="Verdana" w:hAnsi="Verdana"/>
          <w:iCs/>
          <w:sz w:val="20"/>
          <w:szCs w:val="20"/>
          <w:lang w:val="en-GB"/>
        </w:rPr>
        <w:t>t</w:t>
      </w:r>
      <w:r w:rsidR="00852F0F" w:rsidRPr="00995C08">
        <w:rPr>
          <w:rFonts w:ascii="Verdana" w:hAnsi="Verdana"/>
          <w:iCs/>
          <w:sz w:val="20"/>
          <w:szCs w:val="20"/>
          <w:lang w:val="en-GB"/>
        </w:rPr>
        <w:t xml:space="preserve">he analysis was drawn using multiple linear </w:t>
      </w:r>
      <w:proofErr w:type="gramStart"/>
      <w:r w:rsidR="00852F0F" w:rsidRPr="00995C08">
        <w:rPr>
          <w:rFonts w:ascii="Verdana" w:hAnsi="Verdana"/>
          <w:iCs/>
          <w:sz w:val="20"/>
          <w:szCs w:val="20"/>
          <w:lang w:val="en-GB"/>
        </w:rPr>
        <w:t>regression</w:t>
      </w:r>
      <w:proofErr w:type="gramEnd"/>
      <w:r w:rsidR="00852F0F" w:rsidRPr="00995C08">
        <w:rPr>
          <w:rFonts w:ascii="Verdana" w:hAnsi="Verdana"/>
          <w:iCs/>
          <w:sz w:val="20"/>
          <w:szCs w:val="20"/>
          <w:lang w:val="en-GB"/>
        </w:rPr>
        <w:t xml:space="preserve"> with autoregressive elements (MLR-AR). The estimated coefficients of weather variables using MLR-AR model represent corresponding weather impacts on the store traffic and the sales.</w:t>
      </w:r>
      <w:r w:rsidR="00995C08" w:rsidRPr="00995C08">
        <w:rPr>
          <w:rFonts w:ascii="Verdana" w:hAnsi="Verdana"/>
          <w:iCs/>
          <w:sz w:val="20"/>
          <w:szCs w:val="20"/>
          <w:lang w:val="en-GB"/>
        </w:rPr>
        <w:t xml:space="preserve"> The</w:t>
      </w:r>
      <w:r w:rsidR="00852F0F" w:rsidRPr="00995C08">
        <w:rPr>
          <w:rFonts w:ascii="Verdana" w:hAnsi="Verdana"/>
          <w:iCs/>
          <w:sz w:val="20"/>
          <w:szCs w:val="20"/>
          <w:lang w:val="en-GB"/>
        </w:rPr>
        <w:t xml:space="preserve"> snowfall has a significant effect on the store traffic and the sales in both food and fashion retail stores. In food retail store, the risk due to snowfall varies depending on the location of stores. There are also significant lagging effects of snowfall in the fashion retail store. However, the rainfall has a significant effect only on the store traffic in the food retail stores. In addition to these effects, the sales in the fashion retail store are highly affected by the temperature deviation. Unlike previous studies, the proposed model tries to consider autocorrelation property, main and interaction effects between weather variables, temperature deviation and lagging effects of snowfall on the store traffic or the sales. </w:t>
      </w:r>
    </w:p>
    <w:p w:rsidR="00995C08" w:rsidRPr="00995C08" w:rsidRDefault="00995C08" w:rsidP="00852F0F">
      <w:pPr>
        <w:spacing w:after="0" w:line="240" w:lineRule="auto"/>
        <w:jc w:val="both"/>
        <w:rPr>
          <w:rFonts w:ascii="Verdana" w:hAnsi="Verdana"/>
          <w:iCs/>
          <w:sz w:val="20"/>
          <w:szCs w:val="20"/>
          <w:lang w:val="en-GB"/>
        </w:rPr>
      </w:pPr>
    </w:p>
    <w:p w:rsidR="00995C08" w:rsidRPr="00995C08" w:rsidRDefault="00995C08" w:rsidP="00995C08">
      <w:pPr>
        <w:spacing w:after="0" w:line="240" w:lineRule="auto"/>
        <w:jc w:val="both"/>
        <w:rPr>
          <w:rFonts w:ascii="Verdana" w:hAnsi="Verdana"/>
          <w:iCs/>
          <w:sz w:val="20"/>
          <w:szCs w:val="20"/>
          <w:lang w:val="en-GB"/>
        </w:rPr>
      </w:pPr>
      <w:r w:rsidRPr="00995C08">
        <w:rPr>
          <w:rFonts w:ascii="Verdana" w:hAnsi="Verdana"/>
          <w:iCs/>
          <w:sz w:val="20"/>
          <w:szCs w:val="20"/>
          <w:lang w:val="en-GB"/>
        </w:rPr>
        <w:t>The purpose of</w:t>
      </w:r>
      <w:r w:rsidRPr="00995C08">
        <w:rPr>
          <w:rFonts w:ascii="Verdana" w:hAnsi="Verdana"/>
          <w:iCs/>
          <w:sz w:val="20"/>
          <w:szCs w:val="20"/>
          <w:lang w:val="en-GB"/>
        </w:rPr>
        <w:t xml:space="preserve"> t</w:t>
      </w:r>
      <w:r w:rsidR="00BF0D36" w:rsidRPr="00995C08">
        <w:rPr>
          <w:rFonts w:ascii="Verdana" w:hAnsi="Verdana"/>
          <w:iCs/>
          <w:sz w:val="20"/>
          <w:szCs w:val="20"/>
          <w:lang w:val="en-GB"/>
        </w:rPr>
        <w:t xml:space="preserve">he fifth paper by </w:t>
      </w:r>
      <w:r w:rsidRPr="00995C08">
        <w:rPr>
          <w:rFonts w:ascii="Verdana" w:hAnsi="Verdana"/>
          <w:iCs/>
          <w:sz w:val="20"/>
          <w:szCs w:val="20"/>
          <w:lang w:val="en-GB"/>
        </w:rPr>
        <w:t xml:space="preserve">Gómez-Suárez, </w:t>
      </w:r>
      <w:proofErr w:type="spellStart"/>
      <w:r w:rsidRPr="00995C08">
        <w:rPr>
          <w:rFonts w:ascii="Verdana" w:hAnsi="Verdana"/>
          <w:iCs/>
          <w:sz w:val="20"/>
          <w:szCs w:val="20"/>
          <w:lang w:val="en-GB"/>
        </w:rPr>
        <w:t>Quiñones</w:t>
      </w:r>
      <w:proofErr w:type="spellEnd"/>
      <w:r w:rsidRPr="00995C08">
        <w:rPr>
          <w:rFonts w:ascii="Verdana" w:hAnsi="Verdana"/>
          <w:iCs/>
          <w:sz w:val="20"/>
          <w:szCs w:val="20"/>
          <w:lang w:val="en-GB"/>
        </w:rPr>
        <w:t xml:space="preserve"> and </w:t>
      </w:r>
      <w:proofErr w:type="spellStart"/>
      <w:r w:rsidRPr="00995C08">
        <w:rPr>
          <w:rFonts w:ascii="Verdana" w:hAnsi="Verdana"/>
          <w:iCs/>
          <w:sz w:val="20"/>
          <w:szCs w:val="20"/>
          <w:lang w:val="en-GB"/>
        </w:rPr>
        <w:t>Yagüe</w:t>
      </w:r>
      <w:proofErr w:type="spellEnd"/>
      <w:r w:rsidRPr="00995C08">
        <w:rPr>
          <w:rFonts w:ascii="Verdana" w:hAnsi="Verdana"/>
          <w:iCs/>
          <w:sz w:val="20"/>
          <w:szCs w:val="20"/>
          <w:lang w:val="en-GB"/>
        </w:rPr>
        <w:t xml:space="preserve"> is to analyse the relationships between the different phases of the store brand evaluative process (i.e., attitude, preference and purchase intention) in an international context and to investigate how each of them is influenced by selected perceptual characteristics of consumers, psychographic consumer traits and product evaluative criteria. The data were obtained from a survey of over a thousand shoppers from six different countries. Consecutive chained multiple and logistic regression models that incorporated the main antecedents into each stage were applied. The main results suggest that quality inferences based on brand image and reputation have a significant positive effect on store brand attitude, that shoppers’ propensity to explore and their risk perceptions are antecedents of store brand preference rather than store brand attitude, and finally impulsiveness has a significant positive impact on store brand purchase intention. This article extends research on the consumer decision-making process by empirically demonstrating that store brand preference is a mediating variable between store brand attitude and store brand purchase intention. </w:t>
      </w:r>
    </w:p>
    <w:p w:rsidR="00600AFA" w:rsidRPr="00995C08" w:rsidRDefault="00244528" w:rsidP="00D53E3E">
      <w:pPr>
        <w:rPr>
          <w:rFonts w:ascii="Verdana" w:hAnsi="Verdana"/>
          <w:b/>
          <w:noProof/>
          <w:sz w:val="20"/>
          <w:szCs w:val="20"/>
          <w:lang w:val="en-GB"/>
        </w:rPr>
      </w:pPr>
      <w:r w:rsidRPr="00995C08">
        <w:rPr>
          <w:rFonts w:ascii="Verdana" w:hAnsi="Verdana"/>
          <w:noProof/>
          <w:sz w:val="20"/>
          <w:szCs w:val="20"/>
          <w:lang w:val="en-GB"/>
        </w:rPr>
        <w:br w:type="page"/>
      </w:r>
      <w:r w:rsidR="00600AFA" w:rsidRPr="00995C08">
        <w:rPr>
          <w:rFonts w:ascii="Verdana" w:hAnsi="Verdana"/>
          <w:b/>
          <w:noProof/>
          <w:sz w:val="20"/>
          <w:szCs w:val="20"/>
          <w:lang w:val="en-GB"/>
        </w:rPr>
        <w:lastRenderedPageBreak/>
        <w:t>Submission Summary</w:t>
      </w:r>
      <w:r w:rsidR="00003224" w:rsidRPr="00995C08">
        <w:rPr>
          <w:rFonts w:ascii="Verdana" w:hAnsi="Verdana"/>
          <w:b/>
          <w:noProof/>
          <w:sz w:val="20"/>
          <w:szCs w:val="20"/>
          <w:lang w:val="en-GB"/>
        </w:rPr>
        <w:t xml:space="preserve"> </w:t>
      </w:r>
    </w:p>
    <w:tbl>
      <w:tblPr>
        <w:tblW w:w="10835" w:type="dxa"/>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1489"/>
        <w:gridCol w:w="1488"/>
        <w:gridCol w:w="1417"/>
        <w:gridCol w:w="1418"/>
        <w:gridCol w:w="1355"/>
        <w:gridCol w:w="1480"/>
      </w:tblGrid>
      <w:tr w:rsidR="00995C08" w:rsidRPr="00995C08" w:rsidTr="00C239EB">
        <w:tc>
          <w:tcPr>
            <w:tcW w:w="2188" w:type="dxa"/>
          </w:tcPr>
          <w:p w:rsidR="00600AFA" w:rsidRPr="00995C08" w:rsidRDefault="00600AFA" w:rsidP="00034447">
            <w:pPr>
              <w:spacing w:after="0" w:line="240" w:lineRule="auto"/>
              <w:rPr>
                <w:rFonts w:ascii="Verdana" w:hAnsi="Verdana"/>
                <w:noProof/>
                <w:sz w:val="20"/>
                <w:szCs w:val="20"/>
                <w:lang w:val="en-GB"/>
              </w:rPr>
            </w:pPr>
            <w:r w:rsidRPr="00995C08">
              <w:rPr>
                <w:rFonts w:ascii="Verdana" w:hAnsi="Verdana"/>
                <w:noProof/>
                <w:sz w:val="20"/>
                <w:szCs w:val="20"/>
                <w:lang w:val="en-GB"/>
              </w:rPr>
              <w:t>Title</w:t>
            </w:r>
          </w:p>
        </w:tc>
        <w:tc>
          <w:tcPr>
            <w:tcW w:w="1489" w:type="dxa"/>
          </w:tcPr>
          <w:p w:rsidR="00600AFA" w:rsidRPr="00995C08" w:rsidRDefault="00600AFA" w:rsidP="00034447">
            <w:pPr>
              <w:spacing w:after="0" w:line="240" w:lineRule="auto"/>
              <w:rPr>
                <w:rFonts w:ascii="Verdana" w:hAnsi="Verdana"/>
                <w:noProof/>
                <w:sz w:val="20"/>
                <w:szCs w:val="20"/>
                <w:lang w:val="en-GB"/>
              </w:rPr>
            </w:pPr>
            <w:r w:rsidRPr="00995C08">
              <w:rPr>
                <w:rFonts w:ascii="Verdana" w:hAnsi="Verdana"/>
                <w:noProof/>
                <w:sz w:val="20"/>
                <w:szCs w:val="20"/>
                <w:lang w:val="en-GB"/>
              </w:rPr>
              <w:t>Author 1</w:t>
            </w:r>
          </w:p>
        </w:tc>
        <w:tc>
          <w:tcPr>
            <w:tcW w:w="1488" w:type="dxa"/>
          </w:tcPr>
          <w:p w:rsidR="00600AFA" w:rsidRPr="00995C08" w:rsidRDefault="00600AFA" w:rsidP="00034447">
            <w:pPr>
              <w:spacing w:after="0" w:line="240" w:lineRule="auto"/>
              <w:rPr>
                <w:rFonts w:ascii="Verdana" w:hAnsi="Verdana"/>
                <w:noProof/>
                <w:sz w:val="20"/>
                <w:szCs w:val="20"/>
                <w:lang w:val="en-GB"/>
              </w:rPr>
            </w:pPr>
            <w:r w:rsidRPr="00995C08">
              <w:rPr>
                <w:rFonts w:ascii="Verdana" w:hAnsi="Verdana"/>
                <w:noProof/>
                <w:sz w:val="20"/>
                <w:szCs w:val="20"/>
                <w:lang w:val="en-GB"/>
              </w:rPr>
              <w:t>Author 2</w:t>
            </w:r>
          </w:p>
        </w:tc>
        <w:tc>
          <w:tcPr>
            <w:tcW w:w="1417" w:type="dxa"/>
          </w:tcPr>
          <w:p w:rsidR="00600AFA" w:rsidRPr="00995C08" w:rsidRDefault="00600AFA" w:rsidP="00034447">
            <w:pPr>
              <w:spacing w:after="0" w:line="240" w:lineRule="auto"/>
              <w:rPr>
                <w:rFonts w:ascii="Verdana" w:hAnsi="Verdana"/>
                <w:noProof/>
                <w:sz w:val="20"/>
                <w:szCs w:val="20"/>
                <w:lang w:val="en-GB"/>
              </w:rPr>
            </w:pPr>
            <w:r w:rsidRPr="00995C08">
              <w:rPr>
                <w:rFonts w:ascii="Verdana" w:hAnsi="Verdana"/>
                <w:noProof/>
                <w:sz w:val="20"/>
                <w:szCs w:val="20"/>
                <w:lang w:val="en-GB"/>
              </w:rPr>
              <w:t xml:space="preserve">Authors </w:t>
            </w:r>
          </w:p>
          <w:p w:rsidR="00600AFA" w:rsidRPr="00995C08" w:rsidRDefault="00600AFA" w:rsidP="00034447">
            <w:pPr>
              <w:spacing w:after="0" w:line="240" w:lineRule="auto"/>
              <w:rPr>
                <w:rFonts w:ascii="Verdana" w:hAnsi="Verdana"/>
                <w:noProof/>
                <w:sz w:val="20"/>
                <w:szCs w:val="20"/>
                <w:lang w:val="en-GB"/>
              </w:rPr>
            </w:pPr>
            <w:r w:rsidRPr="00995C08">
              <w:rPr>
                <w:rFonts w:ascii="Verdana" w:hAnsi="Verdana"/>
                <w:noProof/>
                <w:sz w:val="20"/>
                <w:szCs w:val="20"/>
                <w:lang w:val="en-GB"/>
              </w:rPr>
              <w:t>3 &amp; 4</w:t>
            </w:r>
          </w:p>
        </w:tc>
        <w:tc>
          <w:tcPr>
            <w:tcW w:w="1418" w:type="dxa"/>
          </w:tcPr>
          <w:p w:rsidR="00600AFA" w:rsidRPr="00995C08" w:rsidRDefault="00600AFA" w:rsidP="00034447">
            <w:pPr>
              <w:spacing w:after="0" w:line="240" w:lineRule="auto"/>
              <w:rPr>
                <w:rFonts w:ascii="Verdana" w:hAnsi="Verdana"/>
                <w:noProof/>
                <w:sz w:val="20"/>
                <w:szCs w:val="20"/>
                <w:lang w:val="en-GB"/>
              </w:rPr>
            </w:pPr>
            <w:r w:rsidRPr="00995C08">
              <w:rPr>
                <w:rFonts w:ascii="Verdana" w:hAnsi="Verdana"/>
                <w:noProof/>
                <w:sz w:val="20"/>
                <w:szCs w:val="20"/>
                <w:lang w:val="en-GB"/>
              </w:rPr>
              <w:t>First Submitted</w:t>
            </w:r>
          </w:p>
        </w:tc>
        <w:tc>
          <w:tcPr>
            <w:tcW w:w="1355" w:type="dxa"/>
          </w:tcPr>
          <w:p w:rsidR="00600AFA" w:rsidRPr="00995C08" w:rsidRDefault="00600AFA" w:rsidP="00034447">
            <w:pPr>
              <w:spacing w:after="0" w:line="240" w:lineRule="auto"/>
              <w:rPr>
                <w:rFonts w:ascii="Verdana" w:hAnsi="Verdana"/>
                <w:noProof/>
                <w:sz w:val="20"/>
                <w:szCs w:val="20"/>
                <w:lang w:val="en-GB"/>
              </w:rPr>
            </w:pPr>
            <w:r w:rsidRPr="00995C08">
              <w:rPr>
                <w:rFonts w:ascii="Verdana" w:hAnsi="Verdana"/>
                <w:noProof/>
                <w:sz w:val="20"/>
                <w:szCs w:val="20"/>
                <w:lang w:val="en-GB"/>
              </w:rPr>
              <w:t xml:space="preserve">Revised Date </w:t>
            </w:r>
          </w:p>
        </w:tc>
        <w:tc>
          <w:tcPr>
            <w:tcW w:w="1480" w:type="dxa"/>
          </w:tcPr>
          <w:p w:rsidR="00600AFA" w:rsidRPr="00995C08" w:rsidRDefault="00600AFA" w:rsidP="00034447">
            <w:pPr>
              <w:spacing w:after="0" w:line="240" w:lineRule="auto"/>
              <w:rPr>
                <w:rFonts w:ascii="Verdana" w:hAnsi="Verdana"/>
                <w:noProof/>
                <w:sz w:val="20"/>
                <w:szCs w:val="20"/>
                <w:lang w:val="en-GB"/>
              </w:rPr>
            </w:pPr>
            <w:r w:rsidRPr="00995C08">
              <w:rPr>
                <w:rFonts w:ascii="Verdana" w:hAnsi="Verdana"/>
                <w:noProof/>
                <w:sz w:val="20"/>
                <w:szCs w:val="20"/>
                <w:lang w:val="en-GB"/>
              </w:rPr>
              <w:t>Final Acceptance</w:t>
            </w:r>
          </w:p>
        </w:tc>
      </w:tr>
      <w:tr w:rsidR="00995C08" w:rsidRPr="00995C08" w:rsidTr="0077126C">
        <w:tc>
          <w:tcPr>
            <w:tcW w:w="2188" w:type="dxa"/>
          </w:tcPr>
          <w:p w:rsidR="00034447" w:rsidRPr="00995C08" w:rsidRDefault="00034447" w:rsidP="00034447">
            <w:pPr>
              <w:spacing w:after="0" w:line="240" w:lineRule="auto"/>
              <w:rPr>
                <w:rFonts w:ascii="Verdana" w:hAnsi="Verdana"/>
                <w:b/>
                <w:sz w:val="20"/>
                <w:szCs w:val="20"/>
                <w:lang w:val="en-GB"/>
              </w:rPr>
            </w:pPr>
            <w:r w:rsidRPr="00995C08">
              <w:rPr>
                <w:rFonts w:ascii="Verdana" w:hAnsi="Verdana"/>
                <w:sz w:val="20"/>
                <w:szCs w:val="20"/>
                <w:lang w:val="en-GB"/>
              </w:rPr>
              <w:t xml:space="preserve">Cumulative impact of category management on small retailers </w:t>
            </w:r>
            <w:r w:rsidRPr="00995C08">
              <w:rPr>
                <w:rFonts w:ascii="Verdana" w:hAnsi="Verdana"/>
                <w:b/>
                <w:sz w:val="20"/>
                <w:szCs w:val="20"/>
                <w:lang w:val="en-GB"/>
              </w:rPr>
              <w:t>(See IJRDM-09-2015-0142.R4</w:t>
            </w:r>
            <w:r w:rsidRPr="00995C08">
              <w:rPr>
                <w:rFonts w:ascii="Verdana" w:hAnsi="Verdana"/>
                <w:b/>
                <w:bCs/>
                <w:sz w:val="20"/>
                <w:szCs w:val="20"/>
                <w:lang w:val="en-GB"/>
              </w:rPr>
              <w:t>)</w:t>
            </w:r>
          </w:p>
        </w:tc>
        <w:tc>
          <w:tcPr>
            <w:tcW w:w="1489" w:type="dxa"/>
          </w:tcPr>
          <w:p w:rsidR="00034447" w:rsidRPr="00995C08" w:rsidRDefault="00034447" w:rsidP="00034447">
            <w:pPr>
              <w:spacing w:after="0" w:line="240" w:lineRule="auto"/>
              <w:rPr>
                <w:rFonts w:ascii="Verdana" w:hAnsi="Verdana" w:cs="Arial"/>
                <w:sz w:val="20"/>
                <w:szCs w:val="20"/>
                <w:lang w:val="en-GB"/>
              </w:rPr>
            </w:pPr>
            <w:r w:rsidRPr="00995C08">
              <w:rPr>
                <w:rFonts w:ascii="Verdana" w:hAnsi="Verdana" w:cs="Arial"/>
                <w:sz w:val="20"/>
                <w:szCs w:val="20"/>
                <w:lang w:val="en-GB"/>
              </w:rPr>
              <w:t>James W. Hamister</w:t>
            </w:r>
          </w:p>
        </w:tc>
        <w:tc>
          <w:tcPr>
            <w:tcW w:w="1488" w:type="dxa"/>
          </w:tcPr>
          <w:p w:rsidR="00034447" w:rsidRPr="00995C08" w:rsidRDefault="00034447" w:rsidP="00034447">
            <w:pPr>
              <w:spacing w:after="0" w:line="240" w:lineRule="auto"/>
              <w:rPr>
                <w:rFonts w:ascii="Verdana" w:hAnsi="Verdana" w:cs="Arial"/>
                <w:sz w:val="20"/>
                <w:szCs w:val="20"/>
                <w:lang w:val="en-GB"/>
              </w:rPr>
            </w:pPr>
            <w:proofErr w:type="spellStart"/>
            <w:r w:rsidRPr="00995C08">
              <w:rPr>
                <w:rFonts w:ascii="Verdana" w:hAnsi="Verdana" w:cs="Arial"/>
                <w:sz w:val="20"/>
                <w:szCs w:val="20"/>
                <w:lang w:val="en-GB"/>
              </w:rPr>
              <w:t>Sima</w:t>
            </w:r>
            <w:proofErr w:type="spellEnd"/>
            <w:r w:rsidRPr="00995C08">
              <w:rPr>
                <w:rFonts w:ascii="Verdana" w:hAnsi="Verdana" w:cs="Arial"/>
                <w:sz w:val="20"/>
                <w:szCs w:val="20"/>
                <w:lang w:val="en-GB"/>
              </w:rPr>
              <w:t xml:space="preserve"> </w:t>
            </w:r>
            <w:proofErr w:type="spellStart"/>
            <w:r w:rsidRPr="00995C08">
              <w:rPr>
                <w:rFonts w:ascii="Verdana" w:hAnsi="Verdana" w:cs="Arial"/>
                <w:sz w:val="20"/>
                <w:szCs w:val="20"/>
                <w:lang w:val="en-GB"/>
              </w:rPr>
              <w:t>Fortsch</w:t>
            </w:r>
            <w:proofErr w:type="spellEnd"/>
          </w:p>
        </w:tc>
        <w:tc>
          <w:tcPr>
            <w:tcW w:w="1417" w:type="dxa"/>
          </w:tcPr>
          <w:p w:rsidR="00034447" w:rsidRPr="00995C08" w:rsidRDefault="00034447" w:rsidP="00034447">
            <w:pPr>
              <w:spacing w:after="0" w:line="240" w:lineRule="auto"/>
              <w:rPr>
                <w:rFonts w:ascii="Verdana" w:hAnsi="Verdana"/>
                <w:sz w:val="20"/>
                <w:szCs w:val="20"/>
                <w:lang w:val="en-GB"/>
              </w:rPr>
            </w:pPr>
          </w:p>
        </w:tc>
        <w:tc>
          <w:tcPr>
            <w:tcW w:w="1418" w:type="dxa"/>
          </w:tcPr>
          <w:p w:rsidR="00034447" w:rsidRPr="00995C08" w:rsidRDefault="00034447" w:rsidP="00034447">
            <w:pPr>
              <w:spacing w:after="0" w:line="240" w:lineRule="auto"/>
              <w:rPr>
                <w:rFonts w:ascii="Verdana" w:hAnsi="Verdana"/>
                <w:sz w:val="20"/>
                <w:szCs w:val="20"/>
                <w:lang w:val="en-GB"/>
              </w:rPr>
            </w:pPr>
            <w:r w:rsidRPr="00995C08">
              <w:rPr>
                <w:rFonts w:ascii="Verdana" w:hAnsi="Verdana"/>
                <w:sz w:val="20"/>
                <w:szCs w:val="20"/>
                <w:lang w:val="en-GB"/>
              </w:rPr>
              <w:t>7</w:t>
            </w:r>
            <w:r w:rsidRPr="00995C08">
              <w:rPr>
                <w:rFonts w:ascii="Verdana" w:hAnsi="Verdana"/>
                <w:sz w:val="20"/>
                <w:szCs w:val="20"/>
                <w:vertAlign w:val="superscript"/>
                <w:lang w:val="en-GB"/>
              </w:rPr>
              <w:t>th</w:t>
            </w:r>
            <w:r w:rsidRPr="00995C08">
              <w:rPr>
                <w:rFonts w:ascii="Verdana" w:hAnsi="Verdana"/>
                <w:sz w:val="20"/>
                <w:szCs w:val="20"/>
                <w:lang w:val="en-GB"/>
              </w:rPr>
              <w:t xml:space="preserve"> September 2015</w:t>
            </w:r>
          </w:p>
        </w:tc>
        <w:tc>
          <w:tcPr>
            <w:tcW w:w="1355" w:type="dxa"/>
          </w:tcPr>
          <w:p w:rsidR="00034447" w:rsidRPr="00995C08" w:rsidRDefault="00034447" w:rsidP="00034447">
            <w:pPr>
              <w:spacing w:after="0" w:line="240" w:lineRule="auto"/>
              <w:rPr>
                <w:rFonts w:ascii="Verdana" w:hAnsi="Verdana"/>
                <w:noProof/>
                <w:sz w:val="20"/>
                <w:szCs w:val="20"/>
                <w:lang w:val="en-GB"/>
              </w:rPr>
            </w:pPr>
            <w:r w:rsidRPr="00995C08">
              <w:rPr>
                <w:rFonts w:ascii="Verdana" w:hAnsi="Verdana"/>
                <w:sz w:val="20"/>
                <w:szCs w:val="20"/>
                <w:lang w:val="en-GB"/>
              </w:rPr>
              <w:t>11</w:t>
            </w:r>
            <w:r w:rsidRPr="00995C08">
              <w:rPr>
                <w:rFonts w:ascii="Verdana" w:hAnsi="Verdana"/>
                <w:sz w:val="20"/>
                <w:szCs w:val="20"/>
                <w:vertAlign w:val="superscript"/>
                <w:lang w:val="en-GB"/>
              </w:rPr>
              <w:t>th</w:t>
            </w:r>
            <w:r w:rsidRPr="00995C08">
              <w:rPr>
                <w:rFonts w:ascii="Verdana" w:hAnsi="Verdana"/>
                <w:sz w:val="20"/>
                <w:szCs w:val="20"/>
                <w:lang w:val="en-GB"/>
              </w:rPr>
              <w:t xml:space="preserve"> May 2016</w:t>
            </w:r>
          </w:p>
        </w:tc>
        <w:tc>
          <w:tcPr>
            <w:tcW w:w="1480" w:type="dxa"/>
          </w:tcPr>
          <w:p w:rsidR="00034447" w:rsidRPr="00995C08" w:rsidRDefault="00034447" w:rsidP="00034447">
            <w:pPr>
              <w:spacing w:after="0" w:line="240" w:lineRule="auto"/>
              <w:rPr>
                <w:rFonts w:ascii="Verdana" w:hAnsi="Verdana"/>
                <w:sz w:val="20"/>
                <w:szCs w:val="20"/>
                <w:lang w:val="en-GB"/>
              </w:rPr>
            </w:pPr>
            <w:r w:rsidRPr="00995C08">
              <w:rPr>
                <w:rFonts w:ascii="Verdana" w:hAnsi="Verdana"/>
                <w:sz w:val="20"/>
                <w:szCs w:val="20"/>
                <w:lang w:val="en-GB"/>
              </w:rPr>
              <w:t>11</w:t>
            </w:r>
            <w:r w:rsidRPr="00995C08">
              <w:rPr>
                <w:rFonts w:ascii="Verdana" w:hAnsi="Verdana"/>
                <w:sz w:val="20"/>
                <w:szCs w:val="20"/>
                <w:vertAlign w:val="superscript"/>
                <w:lang w:val="en-GB"/>
              </w:rPr>
              <w:t>th</w:t>
            </w:r>
            <w:r w:rsidRPr="00995C08">
              <w:rPr>
                <w:rFonts w:ascii="Verdana" w:hAnsi="Verdana"/>
                <w:sz w:val="20"/>
                <w:szCs w:val="20"/>
                <w:lang w:val="en-GB"/>
              </w:rPr>
              <w:t xml:space="preserve"> May 2016</w:t>
            </w:r>
          </w:p>
        </w:tc>
      </w:tr>
      <w:tr w:rsidR="00995C08" w:rsidRPr="00995C08" w:rsidTr="001E366E">
        <w:tc>
          <w:tcPr>
            <w:tcW w:w="2188" w:type="dxa"/>
          </w:tcPr>
          <w:p w:rsidR="00034447" w:rsidRPr="00995C08" w:rsidRDefault="00034447" w:rsidP="00034447">
            <w:pPr>
              <w:spacing w:after="0" w:line="240" w:lineRule="auto"/>
              <w:rPr>
                <w:rFonts w:ascii="Verdana" w:hAnsi="Verdana"/>
                <w:b/>
                <w:sz w:val="20"/>
                <w:szCs w:val="20"/>
                <w:lang w:val="en-GB"/>
              </w:rPr>
            </w:pPr>
            <w:r w:rsidRPr="00995C08">
              <w:rPr>
                <w:rFonts w:ascii="Verdana" w:hAnsi="Verdana"/>
                <w:sz w:val="20"/>
                <w:szCs w:val="20"/>
                <w:lang w:val="en-GB"/>
              </w:rPr>
              <w:t>The digitalization of retailing: A review and framework</w:t>
            </w:r>
            <w:r w:rsidRPr="00995C08">
              <w:rPr>
                <w:rFonts w:ascii="Verdana" w:hAnsi="Verdana"/>
                <w:b/>
                <w:sz w:val="20"/>
                <w:szCs w:val="20"/>
                <w:lang w:val="en-GB"/>
              </w:rPr>
              <w:t xml:space="preserve"> (See </w:t>
            </w:r>
            <w:r w:rsidRPr="00995C08">
              <w:rPr>
                <w:rFonts w:ascii="Verdana" w:hAnsi="Verdana"/>
                <w:b/>
                <w:bCs/>
                <w:sz w:val="20"/>
                <w:szCs w:val="20"/>
                <w:lang w:val="en-GB"/>
              </w:rPr>
              <w:t>IJRDM-09-2015-0140.R4</w:t>
            </w:r>
            <w:r w:rsidRPr="00995C08">
              <w:rPr>
                <w:rFonts w:ascii="Verdana" w:hAnsi="Verdana"/>
                <w:b/>
                <w:sz w:val="20"/>
                <w:szCs w:val="20"/>
                <w:lang w:val="en-GB"/>
              </w:rPr>
              <w:t>)</w:t>
            </w:r>
          </w:p>
        </w:tc>
        <w:tc>
          <w:tcPr>
            <w:tcW w:w="1489" w:type="dxa"/>
          </w:tcPr>
          <w:p w:rsidR="00034447" w:rsidRPr="00995C08" w:rsidRDefault="00034447" w:rsidP="00034447">
            <w:pPr>
              <w:spacing w:after="0" w:line="240" w:lineRule="auto"/>
              <w:rPr>
                <w:rFonts w:ascii="Verdana" w:hAnsi="Verdana" w:cs="Arial"/>
                <w:sz w:val="20"/>
                <w:szCs w:val="20"/>
                <w:lang w:val="en-GB"/>
              </w:rPr>
            </w:pPr>
            <w:r w:rsidRPr="00995C08">
              <w:rPr>
                <w:rFonts w:ascii="Verdana" w:hAnsi="Verdana" w:cs="Arial"/>
                <w:sz w:val="20"/>
                <w:szCs w:val="20"/>
                <w:lang w:val="en-GB"/>
              </w:rPr>
              <w:t>Johan Hagberg</w:t>
            </w:r>
          </w:p>
          <w:p w:rsidR="00034447" w:rsidRPr="00995C08" w:rsidRDefault="00034447" w:rsidP="00034447">
            <w:pPr>
              <w:spacing w:after="0" w:line="240" w:lineRule="auto"/>
              <w:rPr>
                <w:rFonts w:ascii="Verdana" w:hAnsi="Verdana" w:cs="Arial"/>
                <w:sz w:val="20"/>
                <w:szCs w:val="20"/>
                <w:lang w:val="en-GB"/>
              </w:rPr>
            </w:pPr>
          </w:p>
        </w:tc>
        <w:tc>
          <w:tcPr>
            <w:tcW w:w="1488" w:type="dxa"/>
          </w:tcPr>
          <w:p w:rsidR="00034447" w:rsidRPr="00995C08" w:rsidRDefault="00034447" w:rsidP="00034447">
            <w:pPr>
              <w:spacing w:after="0" w:line="240" w:lineRule="auto"/>
              <w:rPr>
                <w:rFonts w:ascii="Verdana" w:hAnsi="Verdana" w:cs="Arial"/>
                <w:sz w:val="20"/>
                <w:szCs w:val="20"/>
                <w:lang w:val="en-GB"/>
              </w:rPr>
            </w:pPr>
            <w:proofErr w:type="spellStart"/>
            <w:r w:rsidRPr="00995C08">
              <w:rPr>
                <w:rFonts w:ascii="Verdana" w:hAnsi="Verdana" w:cs="Arial"/>
                <w:sz w:val="20"/>
                <w:szCs w:val="20"/>
                <w:lang w:val="en-GB"/>
              </w:rPr>
              <w:t>Malin</w:t>
            </w:r>
            <w:proofErr w:type="spellEnd"/>
            <w:r w:rsidRPr="00995C08">
              <w:rPr>
                <w:rFonts w:ascii="Verdana" w:hAnsi="Verdana" w:cs="Arial"/>
                <w:sz w:val="20"/>
                <w:szCs w:val="20"/>
                <w:lang w:val="en-GB"/>
              </w:rPr>
              <w:t xml:space="preserve"> </w:t>
            </w:r>
            <w:proofErr w:type="spellStart"/>
            <w:r w:rsidRPr="00995C08">
              <w:rPr>
                <w:rFonts w:ascii="Verdana" w:hAnsi="Verdana" w:cs="Arial"/>
                <w:sz w:val="20"/>
                <w:szCs w:val="20"/>
                <w:lang w:val="en-GB"/>
              </w:rPr>
              <w:t>Sundstrom</w:t>
            </w:r>
            <w:proofErr w:type="spellEnd"/>
          </w:p>
        </w:tc>
        <w:tc>
          <w:tcPr>
            <w:tcW w:w="1417" w:type="dxa"/>
          </w:tcPr>
          <w:p w:rsidR="00034447" w:rsidRPr="00995C08" w:rsidRDefault="00034447" w:rsidP="00034447">
            <w:pPr>
              <w:spacing w:after="0" w:line="240" w:lineRule="auto"/>
              <w:rPr>
                <w:rFonts w:ascii="Verdana" w:hAnsi="Verdana"/>
                <w:sz w:val="20"/>
                <w:szCs w:val="20"/>
                <w:lang w:val="en-GB"/>
              </w:rPr>
            </w:pPr>
            <w:proofErr w:type="spellStart"/>
            <w:r w:rsidRPr="00995C08">
              <w:rPr>
                <w:rFonts w:ascii="Verdana" w:hAnsi="Verdana" w:cs="Arial"/>
                <w:sz w:val="20"/>
                <w:szCs w:val="20"/>
                <w:lang w:val="en-GB"/>
              </w:rPr>
              <w:t>Niklas</w:t>
            </w:r>
            <w:proofErr w:type="spellEnd"/>
            <w:r w:rsidRPr="00995C08">
              <w:rPr>
                <w:rFonts w:ascii="Verdana" w:hAnsi="Verdana" w:cs="Arial"/>
                <w:sz w:val="20"/>
                <w:szCs w:val="20"/>
                <w:lang w:val="en-GB"/>
              </w:rPr>
              <w:t xml:space="preserve"> </w:t>
            </w:r>
            <w:proofErr w:type="spellStart"/>
            <w:r w:rsidRPr="00995C08">
              <w:rPr>
                <w:rFonts w:ascii="Verdana" w:hAnsi="Verdana" w:cs="Arial"/>
                <w:sz w:val="20"/>
                <w:szCs w:val="20"/>
                <w:lang w:val="en-GB"/>
              </w:rPr>
              <w:t>Egels-Zandén</w:t>
            </w:r>
            <w:proofErr w:type="spellEnd"/>
          </w:p>
        </w:tc>
        <w:tc>
          <w:tcPr>
            <w:tcW w:w="1418" w:type="dxa"/>
          </w:tcPr>
          <w:p w:rsidR="00034447" w:rsidRPr="00995C08" w:rsidRDefault="00034447" w:rsidP="00034447">
            <w:pPr>
              <w:spacing w:after="0" w:line="240" w:lineRule="auto"/>
              <w:rPr>
                <w:rFonts w:ascii="Verdana" w:hAnsi="Verdana"/>
                <w:sz w:val="20"/>
                <w:szCs w:val="20"/>
                <w:lang w:val="en-GB"/>
              </w:rPr>
            </w:pPr>
            <w:r w:rsidRPr="00995C08">
              <w:rPr>
                <w:rFonts w:ascii="Verdana" w:hAnsi="Verdana"/>
                <w:sz w:val="20"/>
                <w:szCs w:val="20"/>
                <w:lang w:val="en-GB"/>
              </w:rPr>
              <w:t>3</w:t>
            </w:r>
            <w:r w:rsidRPr="00995C08">
              <w:rPr>
                <w:rFonts w:ascii="Verdana" w:hAnsi="Verdana"/>
                <w:sz w:val="20"/>
                <w:szCs w:val="20"/>
                <w:vertAlign w:val="superscript"/>
                <w:lang w:val="en-GB"/>
              </w:rPr>
              <w:t>rd</w:t>
            </w:r>
            <w:r w:rsidRPr="00995C08">
              <w:rPr>
                <w:rFonts w:ascii="Verdana" w:hAnsi="Verdana"/>
                <w:sz w:val="20"/>
                <w:szCs w:val="20"/>
                <w:lang w:val="en-GB"/>
              </w:rPr>
              <w:t xml:space="preserve"> September 2015</w:t>
            </w:r>
          </w:p>
        </w:tc>
        <w:tc>
          <w:tcPr>
            <w:tcW w:w="1355" w:type="dxa"/>
          </w:tcPr>
          <w:p w:rsidR="00034447" w:rsidRPr="00995C08" w:rsidRDefault="00034447" w:rsidP="00034447">
            <w:pPr>
              <w:spacing w:after="0" w:line="240" w:lineRule="auto"/>
              <w:rPr>
                <w:rFonts w:ascii="Verdana" w:hAnsi="Verdana"/>
                <w:noProof/>
                <w:sz w:val="20"/>
                <w:szCs w:val="20"/>
                <w:lang w:val="en-GB"/>
              </w:rPr>
            </w:pPr>
            <w:r w:rsidRPr="00995C08">
              <w:rPr>
                <w:rFonts w:ascii="Verdana" w:hAnsi="Verdana"/>
                <w:sz w:val="20"/>
                <w:szCs w:val="20"/>
                <w:lang w:val="en-GB"/>
              </w:rPr>
              <w:t>21</w:t>
            </w:r>
            <w:r w:rsidRPr="00995C08">
              <w:rPr>
                <w:rFonts w:ascii="Verdana" w:hAnsi="Verdana"/>
                <w:sz w:val="20"/>
                <w:szCs w:val="20"/>
                <w:vertAlign w:val="superscript"/>
                <w:lang w:val="en-GB"/>
              </w:rPr>
              <w:t>st</w:t>
            </w:r>
            <w:r w:rsidRPr="00995C08">
              <w:rPr>
                <w:rFonts w:ascii="Verdana" w:hAnsi="Verdana"/>
                <w:sz w:val="20"/>
                <w:szCs w:val="20"/>
                <w:lang w:val="en-GB"/>
              </w:rPr>
              <w:t xml:space="preserve"> Apr</w:t>
            </w:r>
            <w:r w:rsidRPr="00995C08">
              <w:rPr>
                <w:rFonts w:ascii="Verdana" w:hAnsi="Verdana"/>
                <w:sz w:val="20"/>
                <w:szCs w:val="20"/>
                <w:lang w:val="en-GB"/>
              </w:rPr>
              <w:t>il</w:t>
            </w:r>
            <w:r w:rsidRPr="00995C08">
              <w:rPr>
                <w:rFonts w:ascii="Verdana" w:hAnsi="Verdana"/>
                <w:sz w:val="20"/>
                <w:szCs w:val="20"/>
                <w:lang w:val="en-GB"/>
              </w:rPr>
              <w:t xml:space="preserve"> 2016</w:t>
            </w:r>
          </w:p>
        </w:tc>
        <w:tc>
          <w:tcPr>
            <w:tcW w:w="1480" w:type="dxa"/>
          </w:tcPr>
          <w:p w:rsidR="00034447" w:rsidRPr="00995C08" w:rsidRDefault="00034447" w:rsidP="00034447">
            <w:pPr>
              <w:spacing w:after="0" w:line="240" w:lineRule="auto"/>
              <w:rPr>
                <w:rFonts w:ascii="Verdana" w:hAnsi="Verdana"/>
                <w:sz w:val="20"/>
                <w:szCs w:val="20"/>
                <w:lang w:val="en-GB"/>
              </w:rPr>
            </w:pPr>
            <w:r w:rsidRPr="00995C08">
              <w:rPr>
                <w:rFonts w:ascii="Verdana" w:hAnsi="Verdana"/>
                <w:sz w:val="20"/>
                <w:szCs w:val="20"/>
                <w:lang w:val="en-GB"/>
              </w:rPr>
              <w:t>12</w:t>
            </w:r>
            <w:r w:rsidRPr="00995C08">
              <w:rPr>
                <w:rFonts w:ascii="Verdana" w:hAnsi="Verdana"/>
                <w:sz w:val="20"/>
                <w:szCs w:val="20"/>
                <w:vertAlign w:val="superscript"/>
                <w:lang w:val="en-GB"/>
              </w:rPr>
              <w:t>th</w:t>
            </w:r>
            <w:r w:rsidRPr="00995C08">
              <w:rPr>
                <w:rFonts w:ascii="Verdana" w:hAnsi="Verdana"/>
                <w:sz w:val="20"/>
                <w:szCs w:val="20"/>
                <w:lang w:val="en-GB"/>
              </w:rPr>
              <w:t xml:space="preserve"> May 2016</w:t>
            </w:r>
          </w:p>
        </w:tc>
      </w:tr>
      <w:tr w:rsidR="00995C08" w:rsidRPr="00995C08" w:rsidTr="00B11622">
        <w:tc>
          <w:tcPr>
            <w:tcW w:w="2188" w:type="dxa"/>
          </w:tcPr>
          <w:p w:rsidR="00034447" w:rsidRPr="00995C08" w:rsidRDefault="00034447" w:rsidP="00852F0F">
            <w:pPr>
              <w:spacing w:after="0" w:line="240" w:lineRule="auto"/>
              <w:rPr>
                <w:rFonts w:ascii="Verdana" w:hAnsi="Verdana"/>
                <w:sz w:val="20"/>
                <w:szCs w:val="20"/>
                <w:lang w:val="en-GB"/>
              </w:rPr>
            </w:pPr>
            <w:r w:rsidRPr="00995C08">
              <w:rPr>
                <w:rFonts w:ascii="Verdana" w:hAnsi="Verdana"/>
                <w:sz w:val="20"/>
                <w:szCs w:val="20"/>
                <w:lang w:val="en-GB"/>
              </w:rPr>
              <w:t xml:space="preserve">Antecedents and consequences of trust: An e-tail branding perspective </w:t>
            </w:r>
            <w:r w:rsidR="00852F0F" w:rsidRPr="00995C08">
              <w:rPr>
                <w:rFonts w:ascii="Verdana" w:hAnsi="Verdana"/>
                <w:b/>
                <w:sz w:val="20"/>
                <w:szCs w:val="20"/>
                <w:lang w:val="en-GB"/>
              </w:rPr>
              <w:t xml:space="preserve">(See </w:t>
            </w:r>
            <w:r w:rsidR="00852F0F" w:rsidRPr="00995C08">
              <w:rPr>
                <w:rFonts w:ascii="Verdana" w:hAnsi="Verdana"/>
                <w:b/>
                <w:bCs/>
                <w:sz w:val="20"/>
                <w:szCs w:val="20"/>
                <w:lang w:val="en-GB"/>
              </w:rPr>
              <w:t>IJRDM-06-2015-0089.R6</w:t>
            </w:r>
            <w:r w:rsidR="00852F0F" w:rsidRPr="00995C08">
              <w:rPr>
                <w:rFonts w:ascii="Verdana" w:hAnsi="Verdana"/>
                <w:sz w:val="20"/>
                <w:szCs w:val="20"/>
                <w:lang w:val="en-GB"/>
              </w:rPr>
              <w:t>)</w:t>
            </w:r>
          </w:p>
        </w:tc>
        <w:tc>
          <w:tcPr>
            <w:tcW w:w="1489" w:type="dxa"/>
          </w:tcPr>
          <w:p w:rsidR="00034447" w:rsidRPr="00995C08" w:rsidRDefault="00034447" w:rsidP="00034447">
            <w:pPr>
              <w:spacing w:after="0" w:line="240" w:lineRule="auto"/>
              <w:rPr>
                <w:rFonts w:ascii="Verdana" w:hAnsi="Verdana" w:cs="Arial"/>
                <w:sz w:val="20"/>
                <w:szCs w:val="20"/>
                <w:lang w:val="en-GB"/>
              </w:rPr>
            </w:pPr>
            <w:r w:rsidRPr="00995C08">
              <w:rPr>
                <w:rFonts w:ascii="Verdana" w:hAnsi="Verdana" w:cs="Arial"/>
                <w:sz w:val="20"/>
                <w:szCs w:val="20"/>
                <w:lang w:val="en-GB"/>
              </w:rPr>
              <w:t>Gopal Das</w:t>
            </w:r>
          </w:p>
        </w:tc>
        <w:tc>
          <w:tcPr>
            <w:tcW w:w="1488" w:type="dxa"/>
          </w:tcPr>
          <w:p w:rsidR="00034447" w:rsidRPr="00995C08" w:rsidRDefault="00034447" w:rsidP="00034447">
            <w:pPr>
              <w:spacing w:after="0" w:line="240" w:lineRule="auto"/>
              <w:rPr>
                <w:rFonts w:ascii="Verdana" w:hAnsi="Verdana" w:cs="Arial"/>
                <w:sz w:val="20"/>
                <w:szCs w:val="20"/>
                <w:lang w:val="en-GB"/>
              </w:rPr>
            </w:pPr>
          </w:p>
        </w:tc>
        <w:tc>
          <w:tcPr>
            <w:tcW w:w="1417" w:type="dxa"/>
          </w:tcPr>
          <w:p w:rsidR="00034447" w:rsidRPr="00995C08" w:rsidRDefault="00034447" w:rsidP="00034447">
            <w:pPr>
              <w:spacing w:after="0" w:line="240" w:lineRule="auto"/>
              <w:rPr>
                <w:rFonts w:ascii="Verdana" w:hAnsi="Verdana"/>
                <w:sz w:val="20"/>
                <w:szCs w:val="20"/>
                <w:lang w:val="en-GB"/>
              </w:rPr>
            </w:pPr>
          </w:p>
        </w:tc>
        <w:tc>
          <w:tcPr>
            <w:tcW w:w="1418" w:type="dxa"/>
          </w:tcPr>
          <w:p w:rsidR="00034447" w:rsidRPr="00995C08" w:rsidRDefault="00034447" w:rsidP="00034447">
            <w:pPr>
              <w:spacing w:after="0" w:line="240" w:lineRule="auto"/>
              <w:rPr>
                <w:rFonts w:ascii="Verdana" w:hAnsi="Verdana"/>
                <w:sz w:val="20"/>
                <w:szCs w:val="20"/>
                <w:lang w:val="en-GB"/>
              </w:rPr>
            </w:pPr>
            <w:r w:rsidRPr="00995C08">
              <w:rPr>
                <w:rFonts w:ascii="Verdana" w:hAnsi="Verdana"/>
                <w:sz w:val="20"/>
                <w:szCs w:val="20"/>
                <w:lang w:val="en-GB"/>
              </w:rPr>
              <w:t>21</w:t>
            </w:r>
            <w:r w:rsidRPr="00995C08">
              <w:rPr>
                <w:rFonts w:ascii="Verdana" w:hAnsi="Verdana"/>
                <w:sz w:val="20"/>
                <w:szCs w:val="20"/>
                <w:vertAlign w:val="superscript"/>
                <w:lang w:val="en-GB"/>
              </w:rPr>
              <w:t>st</w:t>
            </w:r>
            <w:r w:rsidRPr="00995C08">
              <w:rPr>
                <w:rFonts w:ascii="Verdana" w:hAnsi="Verdana"/>
                <w:sz w:val="20"/>
                <w:szCs w:val="20"/>
                <w:lang w:val="en-GB"/>
              </w:rPr>
              <w:t xml:space="preserve"> June 2015</w:t>
            </w:r>
          </w:p>
        </w:tc>
        <w:tc>
          <w:tcPr>
            <w:tcW w:w="1355" w:type="dxa"/>
          </w:tcPr>
          <w:p w:rsidR="00034447" w:rsidRPr="00995C08" w:rsidRDefault="00034447" w:rsidP="00034447">
            <w:pPr>
              <w:spacing w:after="0" w:line="240" w:lineRule="auto"/>
              <w:rPr>
                <w:rFonts w:ascii="Verdana" w:hAnsi="Verdana"/>
                <w:noProof/>
                <w:sz w:val="20"/>
                <w:szCs w:val="20"/>
                <w:lang w:val="en-GB"/>
              </w:rPr>
            </w:pPr>
            <w:r w:rsidRPr="00995C08">
              <w:rPr>
                <w:rFonts w:ascii="Verdana" w:hAnsi="Verdana"/>
                <w:sz w:val="20"/>
                <w:szCs w:val="20"/>
                <w:lang w:val="en-GB"/>
              </w:rPr>
              <w:t>1</w:t>
            </w:r>
            <w:r w:rsidRPr="00995C08">
              <w:rPr>
                <w:rFonts w:ascii="Verdana" w:hAnsi="Verdana"/>
                <w:sz w:val="20"/>
                <w:szCs w:val="20"/>
                <w:vertAlign w:val="superscript"/>
                <w:lang w:val="en-GB"/>
              </w:rPr>
              <w:t>st</w:t>
            </w:r>
            <w:r w:rsidRPr="00995C08">
              <w:rPr>
                <w:rFonts w:ascii="Verdana" w:hAnsi="Verdana"/>
                <w:sz w:val="20"/>
                <w:szCs w:val="20"/>
                <w:lang w:val="en-GB"/>
              </w:rPr>
              <w:t xml:space="preserve"> Apr</w:t>
            </w:r>
            <w:r w:rsidRPr="00995C08">
              <w:rPr>
                <w:rFonts w:ascii="Verdana" w:hAnsi="Verdana"/>
                <w:sz w:val="20"/>
                <w:szCs w:val="20"/>
                <w:lang w:val="en-GB"/>
              </w:rPr>
              <w:t>il</w:t>
            </w:r>
            <w:r w:rsidRPr="00995C08">
              <w:rPr>
                <w:rFonts w:ascii="Verdana" w:hAnsi="Verdana"/>
                <w:sz w:val="20"/>
                <w:szCs w:val="20"/>
                <w:lang w:val="en-GB"/>
              </w:rPr>
              <w:t xml:space="preserve"> 2016</w:t>
            </w:r>
          </w:p>
        </w:tc>
        <w:tc>
          <w:tcPr>
            <w:tcW w:w="1480" w:type="dxa"/>
          </w:tcPr>
          <w:p w:rsidR="00034447" w:rsidRPr="00995C08" w:rsidRDefault="00034447" w:rsidP="00034447">
            <w:pPr>
              <w:spacing w:after="0" w:line="240" w:lineRule="auto"/>
              <w:rPr>
                <w:rFonts w:ascii="Verdana" w:hAnsi="Verdana"/>
                <w:sz w:val="20"/>
                <w:szCs w:val="20"/>
                <w:lang w:val="en-GB"/>
              </w:rPr>
            </w:pPr>
            <w:r w:rsidRPr="00995C08">
              <w:rPr>
                <w:rFonts w:ascii="Verdana" w:hAnsi="Verdana"/>
                <w:sz w:val="20"/>
                <w:szCs w:val="20"/>
                <w:lang w:val="en-GB"/>
              </w:rPr>
              <w:t>18</w:t>
            </w:r>
            <w:r w:rsidRPr="00995C08">
              <w:rPr>
                <w:rFonts w:ascii="Verdana" w:hAnsi="Verdana"/>
                <w:sz w:val="20"/>
                <w:szCs w:val="20"/>
                <w:vertAlign w:val="superscript"/>
                <w:lang w:val="en-GB"/>
              </w:rPr>
              <w:t>th</w:t>
            </w:r>
            <w:r w:rsidRPr="00995C08">
              <w:rPr>
                <w:rFonts w:ascii="Verdana" w:hAnsi="Verdana"/>
                <w:sz w:val="20"/>
                <w:szCs w:val="20"/>
                <w:lang w:val="en-GB"/>
              </w:rPr>
              <w:t xml:space="preserve"> May 2016</w:t>
            </w:r>
          </w:p>
        </w:tc>
      </w:tr>
      <w:tr w:rsidR="00995C08" w:rsidRPr="00995C08" w:rsidTr="00370172">
        <w:tc>
          <w:tcPr>
            <w:tcW w:w="2188" w:type="dxa"/>
          </w:tcPr>
          <w:p w:rsidR="00034447" w:rsidRPr="00995C08" w:rsidRDefault="00034447" w:rsidP="00852F0F">
            <w:pPr>
              <w:spacing w:after="0" w:line="240" w:lineRule="auto"/>
              <w:rPr>
                <w:rFonts w:ascii="Verdana" w:hAnsi="Verdana"/>
                <w:sz w:val="20"/>
                <w:szCs w:val="20"/>
                <w:lang w:val="en-GB"/>
              </w:rPr>
            </w:pPr>
            <w:r w:rsidRPr="00995C08">
              <w:rPr>
                <w:rFonts w:ascii="Verdana" w:hAnsi="Verdana"/>
                <w:sz w:val="20"/>
                <w:szCs w:val="20"/>
                <w:lang w:val="en-GB"/>
              </w:rPr>
              <w:t>Estimation of non-catastrophic weather impacts for retail industry</w:t>
            </w:r>
            <w:r w:rsidR="00852F0F" w:rsidRPr="00995C08">
              <w:rPr>
                <w:rFonts w:ascii="Verdana" w:hAnsi="Verdana"/>
                <w:sz w:val="20"/>
                <w:szCs w:val="20"/>
                <w:lang w:val="en-GB"/>
              </w:rPr>
              <w:t xml:space="preserve"> </w:t>
            </w:r>
            <w:r w:rsidR="00852F0F" w:rsidRPr="00995C08">
              <w:rPr>
                <w:rFonts w:ascii="Verdana" w:hAnsi="Verdana"/>
                <w:b/>
                <w:sz w:val="20"/>
                <w:szCs w:val="20"/>
                <w:lang w:val="en-GB"/>
              </w:rPr>
              <w:t>(See IJRDM-07-2015-0101.R3)</w:t>
            </w:r>
          </w:p>
        </w:tc>
        <w:tc>
          <w:tcPr>
            <w:tcW w:w="1489" w:type="dxa"/>
          </w:tcPr>
          <w:p w:rsidR="00034447" w:rsidRPr="00995C08" w:rsidRDefault="00034447" w:rsidP="00034447">
            <w:pPr>
              <w:spacing w:after="0" w:line="240" w:lineRule="auto"/>
              <w:rPr>
                <w:rFonts w:ascii="Verdana" w:hAnsi="Verdana" w:cs="Arial"/>
                <w:sz w:val="20"/>
                <w:szCs w:val="20"/>
                <w:lang w:val="en-GB"/>
              </w:rPr>
            </w:pPr>
            <w:r w:rsidRPr="00995C08">
              <w:rPr>
                <w:rFonts w:ascii="Verdana" w:hAnsi="Verdana" w:cs="Arial"/>
                <w:sz w:val="20"/>
                <w:szCs w:val="20"/>
                <w:lang w:val="en-GB"/>
              </w:rPr>
              <w:t xml:space="preserve">Nari Sivanandam Arunraj  </w:t>
            </w:r>
          </w:p>
        </w:tc>
        <w:tc>
          <w:tcPr>
            <w:tcW w:w="1488" w:type="dxa"/>
          </w:tcPr>
          <w:p w:rsidR="00034447" w:rsidRPr="00995C08" w:rsidRDefault="00034447" w:rsidP="00034447">
            <w:pPr>
              <w:spacing w:after="0" w:line="240" w:lineRule="auto"/>
              <w:rPr>
                <w:rFonts w:ascii="Verdana" w:hAnsi="Verdana" w:cs="Arial"/>
                <w:sz w:val="20"/>
                <w:szCs w:val="20"/>
                <w:lang w:val="en-GB"/>
              </w:rPr>
            </w:pPr>
            <w:r w:rsidRPr="00995C08">
              <w:rPr>
                <w:rFonts w:ascii="Verdana" w:hAnsi="Verdana" w:cs="Arial"/>
                <w:sz w:val="20"/>
                <w:szCs w:val="20"/>
                <w:lang w:val="en-GB"/>
              </w:rPr>
              <w:t>Diane Ahrens</w:t>
            </w:r>
          </w:p>
        </w:tc>
        <w:tc>
          <w:tcPr>
            <w:tcW w:w="1417" w:type="dxa"/>
          </w:tcPr>
          <w:p w:rsidR="00034447" w:rsidRPr="00995C08" w:rsidRDefault="00034447" w:rsidP="00034447">
            <w:pPr>
              <w:spacing w:after="0" w:line="240" w:lineRule="auto"/>
              <w:rPr>
                <w:rFonts w:ascii="Verdana" w:hAnsi="Verdana"/>
                <w:sz w:val="20"/>
                <w:szCs w:val="20"/>
                <w:lang w:val="en-GB"/>
              </w:rPr>
            </w:pPr>
          </w:p>
        </w:tc>
        <w:tc>
          <w:tcPr>
            <w:tcW w:w="1418" w:type="dxa"/>
          </w:tcPr>
          <w:p w:rsidR="00034447" w:rsidRPr="00995C08" w:rsidRDefault="00034447" w:rsidP="00034447">
            <w:pPr>
              <w:spacing w:after="0" w:line="240" w:lineRule="auto"/>
              <w:rPr>
                <w:rFonts w:ascii="Verdana" w:hAnsi="Verdana"/>
                <w:sz w:val="20"/>
                <w:szCs w:val="20"/>
                <w:lang w:val="en-GB"/>
              </w:rPr>
            </w:pPr>
            <w:r w:rsidRPr="00995C08">
              <w:rPr>
                <w:rFonts w:ascii="Verdana" w:hAnsi="Verdana"/>
                <w:sz w:val="20"/>
                <w:szCs w:val="20"/>
                <w:lang w:val="en-GB"/>
              </w:rPr>
              <w:t>21</w:t>
            </w:r>
            <w:r w:rsidRPr="00995C08">
              <w:rPr>
                <w:rFonts w:ascii="Verdana" w:hAnsi="Verdana"/>
                <w:sz w:val="20"/>
                <w:szCs w:val="20"/>
                <w:vertAlign w:val="superscript"/>
                <w:lang w:val="en-GB"/>
              </w:rPr>
              <w:t>st</w:t>
            </w:r>
            <w:r w:rsidRPr="00995C08">
              <w:rPr>
                <w:rFonts w:ascii="Verdana" w:hAnsi="Verdana"/>
                <w:sz w:val="20"/>
                <w:szCs w:val="20"/>
                <w:lang w:val="en-GB"/>
              </w:rPr>
              <w:t xml:space="preserve"> July 2015</w:t>
            </w:r>
          </w:p>
        </w:tc>
        <w:tc>
          <w:tcPr>
            <w:tcW w:w="1355" w:type="dxa"/>
          </w:tcPr>
          <w:p w:rsidR="00034447" w:rsidRPr="00995C08" w:rsidRDefault="00034447" w:rsidP="00034447">
            <w:pPr>
              <w:spacing w:after="0" w:line="240" w:lineRule="auto"/>
              <w:rPr>
                <w:rFonts w:ascii="Verdana" w:hAnsi="Verdana"/>
                <w:sz w:val="20"/>
                <w:szCs w:val="20"/>
                <w:lang w:val="en-GB"/>
              </w:rPr>
            </w:pPr>
            <w:r w:rsidRPr="00995C08">
              <w:rPr>
                <w:rFonts w:ascii="Verdana" w:hAnsi="Verdana"/>
                <w:sz w:val="20"/>
                <w:szCs w:val="20"/>
                <w:lang w:val="en-GB"/>
              </w:rPr>
              <w:t>16</w:t>
            </w:r>
            <w:r w:rsidRPr="00995C08">
              <w:rPr>
                <w:rFonts w:ascii="Verdana" w:hAnsi="Verdana"/>
                <w:sz w:val="20"/>
                <w:szCs w:val="20"/>
                <w:vertAlign w:val="superscript"/>
                <w:lang w:val="en-GB"/>
              </w:rPr>
              <w:t>th</w:t>
            </w:r>
            <w:r w:rsidRPr="00995C08">
              <w:rPr>
                <w:rFonts w:ascii="Verdana" w:hAnsi="Verdana"/>
                <w:sz w:val="20"/>
                <w:szCs w:val="20"/>
                <w:lang w:val="en-GB"/>
              </w:rPr>
              <w:t xml:space="preserve"> May 2016</w:t>
            </w:r>
          </w:p>
          <w:p w:rsidR="00034447" w:rsidRPr="00995C08" w:rsidRDefault="00034447" w:rsidP="00034447">
            <w:pPr>
              <w:spacing w:after="0" w:line="240" w:lineRule="auto"/>
              <w:rPr>
                <w:rFonts w:ascii="Verdana" w:hAnsi="Verdana"/>
                <w:noProof/>
                <w:sz w:val="20"/>
                <w:szCs w:val="20"/>
                <w:lang w:val="en-GB"/>
              </w:rPr>
            </w:pPr>
          </w:p>
        </w:tc>
        <w:tc>
          <w:tcPr>
            <w:tcW w:w="1480" w:type="dxa"/>
          </w:tcPr>
          <w:p w:rsidR="00034447" w:rsidRPr="00995C08" w:rsidRDefault="00034447" w:rsidP="00034447">
            <w:pPr>
              <w:spacing w:after="0" w:line="240" w:lineRule="auto"/>
              <w:rPr>
                <w:rFonts w:ascii="Verdana" w:hAnsi="Verdana"/>
                <w:sz w:val="20"/>
                <w:szCs w:val="20"/>
                <w:lang w:val="en-GB"/>
              </w:rPr>
            </w:pPr>
            <w:r w:rsidRPr="00995C08">
              <w:rPr>
                <w:rFonts w:ascii="Verdana" w:hAnsi="Verdana"/>
                <w:sz w:val="20"/>
                <w:szCs w:val="20"/>
                <w:lang w:val="en-GB"/>
              </w:rPr>
              <w:t>18</w:t>
            </w:r>
            <w:r w:rsidRPr="00995C08">
              <w:rPr>
                <w:rFonts w:ascii="Verdana" w:hAnsi="Verdana"/>
                <w:sz w:val="20"/>
                <w:szCs w:val="20"/>
                <w:vertAlign w:val="superscript"/>
                <w:lang w:val="en-GB"/>
              </w:rPr>
              <w:t>th</w:t>
            </w:r>
            <w:r w:rsidRPr="00995C08">
              <w:rPr>
                <w:rFonts w:ascii="Verdana" w:hAnsi="Verdana"/>
                <w:sz w:val="20"/>
                <w:szCs w:val="20"/>
                <w:lang w:val="en-GB"/>
              </w:rPr>
              <w:t xml:space="preserve"> May 2016</w:t>
            </w:r>
          </w:p>
        </w:tc>
      </w:tr>
      <w:tr w:rsidR="00995C08" w:rsidRPr="00995C08" w:rsidTr="00E05308">
        <w:tc>
          <w:tcPr>
            <w:tcW w:w="2188" w:type="dxa"/>
          </w:tcPr>
          <w:p w:rsidR="00034447" w:rsidRPr="00995C08" w:rsidRDefault="00034447" w:rsidP="00995C08">
            <w:pPr>
              <w:spacing w:after="0" w:line="240" w:lineRule="auto"/>
              <w:rPr>
                <w:rFonts w:ascii="Verdana" w:hAnsi="Verdana"/>
                <w:b/>
                <w:bCs/>
                <w:sz w:val="20"/>
                <w:szCs w:val="20"/>
                <w:lang w:val="en-GB"/>
              </w:rPr>
            </w:pPr>
            <w:r w:rsidRPr="00995C08">
              <w:rPr>
                <w:rFonts w:ascii="Verdana" w:hAnsi="Verdana"/>
                <w:bCs/>
                <w:sz w:val="20"/>
                <w:szCs w:val="20"/>
                <w:lang w:val="en-GB"/>
              </w:rPr>
              <w:t>Store brand evaluative process: targeting international shoppers</w:t>
            </w:r>
            <w:r w:rsidRPr="00995C08">
              <w:rPr>
                <w:rFonts w:ascii="Verdana" w:hAnsi="Verdana"/>
                <w:b/>
                <w:bCs/>
                <w:sz w:val="20"/>
                <w:szCs w:val="20"/>
                <w:lang w:val="en-GB"/>
              </w:rPr>
              <w:t xml:space="preserve"> </w:t>
            </w:r>
            <w:r w:rsidR="00995C08" w:rsidRPr="00995C08">
              <w:rPr>
                <w:rFonts w:ascii="Verdana" w:hAnsi="Verdana"/>
                <w:b/>
                <w:bCs/>
                <w:sz w:val="20"/>
                <w:szCs w:val="20"/>
                <w:lang w:val="en-GB"/>
              </w:rPr>
              <w:t>(See IJRDM-11-2015-0168.R3)</w:t>
            </w:r>
          </w:p>
        </w:tc>
        <w:tc>
          <w:tcPr>
            <w:tcW w:w="1489" w:type="dxa"/>
          </w:tcPr>
          <w:p w:rsidR="00034447" w:rsidRPr="00995C08" w:rsidRDefault="00034447" w:rsidP="00034447">
            <w:pPr>
              <w:spacing w:after="0" w:line="240" w:lineRule="auto"/>
              <w:rPr>
                <w:rFonts w:ascii="Verdana" w:hAnsi="Verdana"/>
                <w:sz w:val="20"/>
                <w:szCs w:val="20"/>
                <w:lang w:val="en-GB"/>
              </w:rPr>
            </w:pPr>
            <w:r w:rsidRPr="00995C08">
              <w:rPr>
                <w:rFonts w:ascii="Verdana" w:hAnsi="Verdana"/>
                <w:sz w:val="20"/>
                <w:szCs w:val="20"/>
                <w:lang w:val="en-GB"/>
              </w:rPr>
              <w:t>Mónica Gómez-Suárez</w:t>
            </w:r>
          </w:p>
        </w:tc>
        <w:tc>
          <w:tcPr>
            <w:tcW w:w="1488" w:type="dxa"/>
          </w:tcPr>
          <w:p w:rsidR="00034447" w:rsidRPr="00995C08" w:rsidRDefault="00034447" w:rsidP="00034447">
            <w:pPr>
              <w:spacing w:after="0" w:line="240" w:lineRule="auto"/>
              <w:rPr>
                <w:rFonts w:ascii="Verdana" w:hAnsi="Verdana" w:cs="Arial"/>
                <w:sz w:val="20"/>
                <w:szCs w:val="20"/>
                <w:lang w:val="en-GB"/>
              </w:rPr>
            </w:pPr>
            <w:proofErr w:type="spellStart"/>
            <w:r w:rsidRPr="00995C08">
              <w:rPr>
                <w:rFonts w:ascii="Verdana" w:hAnsi="Verdana"/>
                <w:sz w:val="20"/>
                <w:szCs w:val="20"/>
                <w:lang w:val="en-GB"/>
              </w:rPr>
              <w:t>Myriam</w:t>
            </w:r>
            <w:proofErr w:type="spellEnd"/>
            <w:r w:rsidRPr="00995C08">
              <w:rPr>
                <w:rFonts w:ascii="Verdana" w:hAnsi="Verdana"/>
                <w:sz w:val="20"/>
                <w:szCs w:val="20"/>
                <w:lang w:val="en-GB"/>
              </w:rPr>
              <w:t xml:space="preserve"> </w:t>
            </w:r>
            <w:proofErr w:type="spellStart"/>
            <w:r w:rsidRPr="00995C08">
              <w:rPr>
                <w:rFonts w:ascii="Verdana" w:hAnsi="Verdana"/>
                <w:sz w:val="20"/>
                <w:szCs w:val="20"/>
                <w:lang w:val="en-GB"/>
              </w:rPr>
              <w:t>Quiñones</w:t>
            </w:r>
            <w:proofErr w:type="spellEnd"/>
          </w:p>
        </w:tc>
        <w:tc>
          <w:tcPr>
            <w:tcW w:w="1417" w:type="dxa"/>
          </w:tcPr>
          <w:p w:rsidR="00034447" w:rsidRPr="00995C08" w:rsidRDefault="00034447" w:rsidP="00034447">
            <w:pPr>
              <w:spacing w:after="0" w:line="240" w:lineRule="auto"/>
              <w:rPr>
                <w:rFonts w:ascii="Verdana" w:hAnsi="Verdana"/>
                <w:sz w:val="20"/>
                <w:szCs w:val="20"/>
                <w:lang w:val="en-GB"/>
              </w:rPr>
            </w:pPr>
            <w:proofErr w:type="spellStart"/>
            <w:r w:rsidRPr="00995C08">
              <w:rPr>
                <w:rFonts w:ascii="Verdana" w:hAnsi="Verdana"/>
                <w:sz w:val="20"/>
                <w:szCs w:val="20"/>
                <w:lang w:val="en-GB"/>
              </w:rPr>
              <w:t>María</w:t>
            </w:r>
            <w:proofErr w:type="spellEnd"/>
            <w:r w:rsidRPr="00995C08">
              <w:rPr>
                <w:rFonts w:ascii="Verdana" w:hAnsi="Verdana"/>
                <w:sz w:val="20"/>
                <w:szCs w:val="20"/>
                <w:lang w:val="en-GB"/>
              </w:rPr>
              <w:t xml:space="preserve"> </w:t>
            </w:r>
            <w:proofErr w:type="spellStart"/>
            <w:r w:rsidRPr="00995C08">
              <w:rPr>
                <w:rFonts w:ascii="Verdana" w:hAnsi="Verdana"/>
                <w:sz w:val="20"/>
                <w:szCs w:val="20"/>
                <w:lang w:val="en-GB"/>
              </w:rPr>
              <w:t>Jesús</w:t>
            </w:r>
            <w:proofErr w:type="spellEnd"/>
            <w:r w:rsidRPr="00995C08">
              <w:rPr>
                <w:rFonts w:ascii="Verdana" w:hAnsi="Verdana"/>
                <w:sz w:val="20"/>
                <w:szCs w:val="20"/>
                <w:lang w:val="en-GB"/>
              </w:rPr>
              <w:t xml:space="preserve"> </w:t>
            </w:r>
            <w:proofErr w:type="spellStart"/>
            <w:r w:rsidRPr="00995C08">
              <w:rPr>
                <w:rFonts w:ascii="Verdana" w:hAnsi="Verdana"/>
                <w:sz w:val="20"/>
                <w:szCs w:val="20"/>
                <w:lang w:val="en-GB"/>
              </w:rPr>
              <w:t>Yagüe</w:t>
            </w:r>
            <w:proofErr w:type="spellEnd"/>
          </w:p>
        </w:tc>
        <w:tc>
          <w:tcPr>
            <w:tcW w:w="1418" w:type="dxa"/>
          </w:tcPr>
          <w:p w:rsidR="00034447" w:rsidRPr="00995C08" w:rsidRDefault="00034447" w:rsidP="00034447">
            <w:pPr>
              <w:spacing w:after="0" w:line="240" w:lineRule="auto"/>
              <w:rPr>
                <w:rFonts w:ascii="Verdana" w:hAnsi="Verdana" w:cs="Arial"/>
                <w:sz w:val="20"/>
                <w:szCs w:val="20"/>
                <w:lang w:val="en-GB"/>
              </w:rPr>
            </w:pPr>
            <w:r w:rsidRPr="00995C08">
              <w:rPr>
                <w:rFonts w:ascii="Verdana" w:hAnsi="Verdana" w:cs="Arial"/>
                <w:sz w:val="20"/>
                <w:szCs w:val="20"/>
                <w:lang w:val="en-GB"/>
              </w:rPr>
              <w:t>9</w:t>
            </w:r>
            <w:r w:rsidRPr="00995C08">
              <w:rPr>
                <w:rFonts w:ascii="Verdana" w:hAnsi="Verdana" w:cs="Arial"/>
                <w:sz w:val="20"/>
                <w:szCs w:val="20"/>
                <w:vertAlign w:val="superscript"/>
                <w:lang w:val="en-GB"/>
              </w:rPr>
              <w:t>th</w:t>
            </w:r>
            <w:r w:rsidRPr="00995C08">
              <w:rPr>
                <w:rFonts w:ascii="Verdana" w:hAnsi="Verdana" w:cs="Arial"/>
                <w:sz w:val="20"/>
                <w:szCs w:val="20"/>
                <w:lang w:val="en-GB"/>
              </w:rPr>
              <w:t xml:space="preserve"> </w:t>
            </w:r>
            <w:r w:rsidRPr="00995C08">
              <w:rPr>
                <w:rFonts w:ascii="Verdana" w:hAnsi="Verdana" w:cs="Arial"/>
                <w:sz w:val="20"/>
                <w:szCs w:val="20"/>
                <w:lang w:val="en-GB"/>
              </w:rPr>
              <w:t>November 2015</w:t>
            </w:r>
          </w:p>
        </w:tc>
        <w:tc>
          <w:tcPr>
            <w:tcW w:w="1355" w:type="dxa"/>
          </w:tcPr>
          <w:p w:rsidR="00034447" w:rsidRPr="00995C08" w:rsidRDefault="00034447" w:rsidP="00034447">
            <w:pPr>
              <w:spacing w:after="0" w:line="240" w:lineRule="auto"/>
              <w:rPr>
                <w:rFonts w:ascii="Verdana" w:hAnsi="Verdana" w:cs="Arial"/>
                <w:sz w:val="20"/>
                <w:szCs w:val="20"/>
                <w:lang w:val="en-GB"/>
              </w:rPr>
            </w:pPr>
            <w:r w:rsidRPr="00995C08">
              <w:rPr>
                <w:rFonts w:ascii="Verdana" w:hAnsi="Verdana" w:cs="Arial"/>
                <w:sz w:val="20"/>
                <w:szCs w:val="20"/>
                <w:lang w:val="en-GB"/>
              </w:rPr>
              <w:t>31</w:t>
            </w:r>
            <w:r w:rsidRPr="00995C08">
              <w:rPr>
                <w:rFonts w:ascii="Verdana" w:hAnsi="Verdana" w:cs="Arial"/>
                <w:sz w:val="20"/>
                <w:szCs w:val="20"/>
                <w:vertAlign w:val="superscript"/>
                <w:lang w:val="en-GB"/>
              </w:rPr>
              <w:t>st</w:t>
            </w:r>
            <w:r w:rsidRPr="00995C08">
              <w:rPr>
                <w:rFonts w:ascii="Verdana" w:hAnsi="Verdana" w:cs="Arial"/>
                <w:sz w:val="20"/>
                <w:szCs w:val="20"/>
                <w:lang w:val="en-GB"/>
              </w:rPr>
              <w:t xml:space="preserve"> Mar</w:t>
            </w:r>
            <w:r w:rsidRPr="00995C08">
              <w:rPr>
                <w:rFonts w:ascii="Verdana" w:hAnsi="Verdana" w:cs="Arial"/>
                <w:sz w:val="20"/>
                <w:szCs w:val="20"/>
                <w:lang w:val="en-GB"/>
              </w:rPr>
              <w:t>ch</w:t>
            </w:r>
            <w:r w:rsidRPr="00995C08">
              <w:rPr>
                <w:rFonts w:ascii="Verdana" w:hAnsi="Verdana" w:cs="Arial"/>
                <w:sz w:val="20"/>
                <w:szCs w:val="20"/>
                <w:lang w:val="en-GB"/>
              </w:rPr>
              <w:t xml:space="preserve"> 2016</w:t>
            </w:r>
          </w:p>
          <w:p w:rsidR="00034447" w:rsidRPr="00995C08" w:rsidRDefault="00034447" w:rsidP="00034447">
            <w:pPr>
              <w:spacing w:after="0" w:line="240" w:lineRule="auto"/>
              <w:rPr>
                <w:rFonts w:ascii="Verdana" w:hAnsi="Verdana"/>
                <w:sz w:val="20"/>
                <w:szCs w:val="20"/>
                <w:lang w:val="en-GB"/>
              </w:rPr>
            </w:pPr>
          </w:p>
        </w:tc>
        <w:tc>
          <w:tcPr>
            <w:tcW w:w="1480" w:type="dxa"/>
          </w:tcPr>
          <w:p w:rsidR="00034447" w:rsidRPr="00995C08" w:rsidRDefault="00034447" w:rsidP="00034447">
            <w:pPr>
              <w:spacing w:after="0" w:line="240" w:lineRule="auto"/>
              <w:rPr>
                <w:rFonts w:ascii="Verdana" w:hAnsi="Verdana"/>
                <w:sz w:val="20"/>
                <w:szCs w:val="20"/>
                <w:lang w:val="en-GB"/>
              </w:rPr>
            </w:pPr>
            <w:r w:rsidRPr="00995C08">
              <w:rPr>
                <w:rFonts w:ascii="Verdana" w:hAnsi="Verdana"/>
                <w:sz w:val="20"/>
                <w:szCs w:val="20"/>
                <w:lang w:val="en-GB"/>
              </w:rPr>
              <w:t>25</w:t>
            </w:r>
            <w:r w:rsidRPr="00995C08">
              <w:rPr>
                <w:rFonts w:ascii="Verdana" w:hAnsi="Verdana"/>
                <w:sz w:val="20"/>
                <w:szCs w:val="20"/>
                <w:vertAlign w:val="superscript"/>
                <w:lang w:val="en-GB"/>
              </w:rPr>
              <w:t>th</w:t>
            </w:r>
            <w:r w:rsidRPr="00995C08">
              <w:rPr>
                <w:rFonts w:ascii="Verdana" w:hAnsi="Verdana"/>
                <w:sz w:val="20"/>
                <w:szCs w:val="20"/>
                <w:lang w:val="en-GB"/>
              </w:rPr>
              <w:t xml:space="preserve"> May 2016</w:t>
            </w:r>
          </w:p>
        </w:tc>
      </w:tr>
    </w:tbl>
    <w:p w:rsidR="006C0BF3" w:rsidRPr="00995C08" w:rsidRDefault="006C0BF3" w:rsidP="00C32E9E">
      <w:pPr>
        <w:rPr>
          <w:rStyle w:val="A5"/>
          <w:rFonts w:ascii="Verdana" w:hAnsi="Verdana"/>
          <w:b w:val="0"/>
          <w:noProof/>
          <w:color w:val="auto"/>
          <w:lang w:val="en-GB"/>
        </w:rPr>
      </w:pPr>
    </w:p>
    <w:sectPr w:rsidR="006C0BF3" w:rsidRPr="00995C08" w:rsidSect="00CD0EF3">
      <w:headerReference w:type="default" r:id="rId9"/>
      <w:footerReference w:type="default" r:id="rId10"/>
      <w:pgSz w:w="11907" w:h="16839" w:code="9"/>
      <w:pgMar w:top="1361" w:right="1797" w:bottom="1361" w:left="1797"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B17" w:rsidRDefault="00634B17" w:rsidP="00600AFA">
      <w:pPr>
        <w:spacing w:after="0" w:line="240" w:lineRule="auto"/>
      </w:pPr>
      <w:r>
        <w:separator/>
      </w:r>
    </w:p>
  </w:endnote>
  <w:endnote w:type="continuationSeparator" w:id="0">
    <w:p w:rsidR="00634B17" w:rsidRDefault="00634B17" w:rsidP="0060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17" w:rsidRDefault="00634B17" w:rsidP="00087B28">
    <w:pPr>
      <w:pStyle w:val="Footer"/>
      <w:jc w:val="right"/>
      <w:rPr>
        <w:rFonts w:ascii="Verdana" w:hAnsi="Verdana"/>
        <w:sz w:val="20"/>
        <w:szCs w:val="20"/>
        <w:lang w:val="en-GB"/>
      </w:rPr>
    </w:pPr>
  </w:p>
  <w:p w:rsidR="00634B17" w:rsidRPr="00087B28" w:rsidRDefault="00634B17" w:rsidP="00087B28">
    <w:pPr>
      <w:pStyle w:val="Footer"/>
      <w:jc w:val="right"/>
      <w:rPr>
        <w:rFonts w:ascii="Verdana" w:hAnsi="Verdana"/>
        <w:sz w:val="20"/>
        <w:szCs w:val="20"/>
        <w:lang w:val="en-GB"/>
      </w:rPr>
    </w:pPr>
    <w:r w:rsidRPr="00087B28">
      <w:rPr>
        <w:rFonts w:ascii="Verdana" w:hAnsi="Verdana"/>
        <w:sz w:val="20"/>
        <w:szCs w:val="20"/>
        <w:lang w:val="en-GB"/>
      </w:rPr>
      <w:t>Professor Neil Towers</w:t>
    </w:r>
  </w:p>
  <w:p w:rsidR="00634B17" w:rsidRPr="00087B28" w:rsidRDefault="00634B17" w:rsidP="00087B28">
    <w:pPr>
      <w:pStyle w:val="Footer"/>
      <w:jc w:val="right"/>
      <w:rPr>
        <w:rFonts w:ascii="Verdana" w:hAnsi="Verdana"/>
        <w:sz w:val="20"/>
        <w:szCs w:val="20"/>
        <w:lang w:val="en-GB"/>
      </w:rPr>
    </w:pPr>
    <w:r w:rsidRPr="00087B28">
      <w:rPr>
        <w:rFonts w:ascii="Verdana" w:hAnsi="Verdana"/>
        <w:sz w:val="20"/>
        <w:szCs w:val="20"/>
        <w:lang w:val="en-GB"/>
      </w:rPr>
      <w:t>Editor</w:t>
    </w:r>
  </w:p>
  <w:p w:rsidR="00634B17" w:rsidRPr="00087B28" w:rsidRDefault="002752CD" w:rsidP="00087B28">
    <w:pPr>
      <w:pStyle w:val="Footer"/>
      <w:jc w:val="right"/>
      <w:rPr>
        <w:rFonts w:ascii="Verdana" w:hAnsi="Verdana"/>
        <w:sz w:val="20"/>
        <w:szCs w:val="20"/>
        <w:lang w:val="en-GB"/>
      </w:rPr>
    </w:pPr>
    <w:r>
      <w:rPr>
        <w:rFonts w:ascii="Verdana" w:hAnsi="Verdana"/>
        <w:sz w:val="20"/>
        <w:szCs w:val="20"/>
        <w:lang w:val="en-GB"/>
      </w:rPr>
      <w:t>25</w:t>
    </w:r>
    <w:r w:rsidR="001B66BB" w:rsidRPr="001B66BB">
      <w:rPr>
        <w:rFonts w:ascii="Verdana" w:hAnsi="Verdana"/>
        <w:sz w:val="20"/>
        <w:szCs w:val="20"/>
        <w:vertAlign w:val="superscript"/>
        <w:lang w:val="en-GB"/>
      </w:rPr>
      <w:t>th</w:t>
    </w:r>
    <w:r w:rsidR="001B66BB">
      <w:rPr>
        <w:rFonts w:ascii="Verdana" w:hAnsi="Verdana"/>
        <w:sz w:val="20"/>
        <w:szCs w:val="20"/>
        <w:lang w:val="en-GB"/>
      </w:rPr>
      <w:t xml:space="preserve"> </w:t>
    </w:r>
    <w:r w:rsidR="000963A7">
      <w:rPr>
        <w:rFonts w:ascii="Verdana" w:hAnsi="Verdana"/>
        <w:sz w:val="20"/>
        <w:szCs w:val="20"/>
        <w:lang w:val="en-GB"/>
      </w:rPr>
      <w:t>May</w:t>
    </w:r>
    <w:r w:rsidR="00933D05">
      <w:rPr>
        <w:rFonts w:ascii="Verdana" w:hAnsi="Verdana"/>
        <w:sz w:val="20"/>
        <w:szCs w:val="20"/>
        <w:lang w:val="en-GB"/>
      </w:rPr>
      <w:t xml:space="preserve"> 201</w:t>
    </w:r>
    <w:r w:rsidR="001B66BB">
      <w:rPr>
        <w:rFonts w:ascii="Verdana" w:hAnsi="Verdana"/>
        <w:sz w:val="20"/>
        <w:szCs w:val="20"/>
        <w:lang w:val="en-GB"/>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B17" w:rsidRDefault="00634B17" w:rsidP="00600AFA">
      <w:pPr>
        <w:spacing w:after="0" w:line="240" w:lineRule="auto"/>
      </w:pPr>
      <w:r>
        <w:separator/>
      </w:r>
    </w:p>
  </w:footnote>
  <w:footnote w:type="continuationSeparator" w:id="0">
    <w:p w:rsidR="00634B17" w:rsidRDefault="00634B17" w:rsidP="00600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17" w:rsidRPr="00600AFA" w:rsidRDefault="00634B17" w:rsidP="00600AFA">
    <w:pPr>
      <w:pStyle w:val="Header"/>
      <w:rPr>
        <w:rFonts w:ascii="Verdana" w:hAnsi="Verdana"/>
        <w:sz w:val="20"/>
        <w:szCs w:val="20"/>
        <w:lang w:val="en-GB"/>
      </w:rPr>
    </w:pPr>
    <w:r w:rsidRPr="00600AFA">
      <w:rPr>
        <w:rFonts w:ascii="Verdana" w:hAnsi="Verdana"/>
        <w:sz w:val="20"/>
        <w:szCs w:val="20"/>
        <w:lang w:val="en-GB"/>
      </w:rPr>
      <w:t xml:space="preserve">International Journal of Retail </w:t>
    </w:r>
    <w:r w:rsidR="003B4879">
      <w:rPr>
        <w:rFonts w:ascii="Verdana" w:hAnsi="Verdana"/>
        <w:sz w:val="20"/>
        <w:szCs w:val="20"/>
        <w:lang w:val="en-GB"/>
      </w:rPr>
      <w:t>&amp;</w:t>
    </w:r>
    <w:r w:rsidRPr="00600AFA">
      <w:rPr>
        <w:rFonts w:ascii="Verdana" w:hAnsi="Verdana"/>
        <w:sz w:val="20"/>
        <w:szCs w:val="20"/>
        <w:lang w:val="en-GB"/>
      </w:rPr>
      <w:t xml:space="preserve"> Distribution Management</w:t>
    </w:r>
  </w:p>
  <w:p w:rsidR="00634B17" w:rsidRPr="00600AFA" w:rsidRDefault="00634B17" w:rsidP="00600AFA">
    <w:pPr>
      <w:pStyle w:val="Header"/>
      <w:rPr>
        <w:rFonts w:ascii="Verdana" w:hAnsi="Verdana"/>
        <w:sz w:val="20"/>
        <w:szCs w:val="20"/>
        <w:lang w:val="en-GB"/>
      </w:rPr>
    </w:pPr>
  </w:p>
  <w:p w:rsidR="00634B17" w:rsidRPr="00920A1E" w:rsidRDefault="00051564" w:rsidP="00600AFA">
    <w:pPr>
      <w:pStyle w:val="Header"/>
      <w:rPr>
        <w:rFonts w:ascii="Verdana" w:hAnsi="Verdana"/>
        <w:sz w:val="20"/>
        <w:szCs w:val="20"/>
        <w:lang w:val="en-GB"/>
      </w:rPr>
    </w:pPr>
    <w:r>
      <w:rPr>
        <w:rFonts w:ascii="Verdana" w:hAnsi="Verdana"/>
        <w:sz w:val="20"/>
        <w:szCs w:val="20"/>
        <w:lang w:val="en-GB"/>
      </w:rPr>
      <w:t>Volume 4</w:t>
    </w:r>
    <w:r w:rsidR="00933D05">
      <w:rPr>
        <w:rFonts w:ascii="Verdana" w:hAnsi="Verdana"/>
        <w:sz w:val="20"/>
        <w:szCs w:val="20"/>
        <w:lang w:val="en-GB"/>
      </w:rPr>
      <w:t>4</w:t>
    </w:r>
    <w:r w:rsidR="00634B17" w:rsidRPr="00920A1E">
      <w:rPr>
        <w:rFonts w:ascii="Verdana" w:hAnsi="Verdana"/>
        <w:sz w:val="20"/>
        <w:szCs w:val="20"/>
        <w:lang w:val="en-GB"/>
      </w:rPr>
      <w:t xml:space="preserve"> Issue </w:t>
    </w:r>
    <w:r w:rsidR="002752CD">
      <w:rPr>
        <w:rFonts w:ascii="Verdana" w:hAnsi="Verdana"/>
        <w:sz w:val="20"/>
        <w:szCs w:val="20"/>
        <w:lang w:val="en-GB"/>
      </w:rPr>
      <w:t>7</w:t>
    </w:r>
  </w:p>
  <w:p w:rsidR="00634B17" w:rsidRDefault="00634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664"/>
    <w:multiLevelType w:val="hybridMultilevel"/>
    <w:tmpl w:val="469ADCF6"/>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3500F7"/>
    <w:multiLevelType w:val="hybridMultilevel"/>
    <w:tmpl w:val="6DCE1322"/>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
    <w:nsid w:val="2BAD4D62"/>
    <w:multiLevelType w:val="multilevel"/>
    <w:tmpl w:val="FE84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210687"/>
    <w:multiLevelType w:val="multilevel"/>
    <w:tmpl w:val="0E8A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9E"/>
    <w:rsid w:val="00000AC1"/>
    <w:rsid w:val="00003224"/>
    <w:rsid w:val="00003BAD"/>
    <w:rsid w:val="00007F0B"/>
    <w:rsid w:val="000211C0"/>
    <w:rsid w:val="000331DA"/>
    <w:rsid w:val="00034447"/>
    <w:rsid w:val="000418AD"/>
    <w:rsid w:val="00051564"/>
    <w:rsid w:val="00063630"/>
    <w:rsid w:val="0008241E"/>
    <w:rsid w:val="00087B28"/>
    <w:rsid w:val="0009488C"/>
    <w:rsid w:val="000963A7"/>
    <w:rsid w:val="000D07C6"/>
    <w:rsid w:val="000D3301"/>
    <w:rsid w:val="000E3707"/>
    <w:rsid w:val="000E5DDE"/>
    <w:rsid w:val="000F6091"/>
    <w:rsid w:val="00133ADC"/>
    <w:rsid w:val="00133EC6"/>
    <w:rsid w:val="00184F20"/>
    <w:rsid w:val="001B66BB"/>
    <w:rsid w:val="00244528"/>
    <w:rsid w:val="002748BA"/>
    <w:rsid w:val="002752CD"/>
    <w:rsid w:val="0029063E"/>
    <w:rsid w:val="002A12E4"/>
    <w:rsid w:val="002B177F"/>
    <w:rsid w:val="002D1847"/>
    <w:rsid w:val="002F2347"/>
    <w:rsid w:val="003120DF"/>
    <w:rsid w:val="00341777"/>
    <w:rsid w:val="00347179"/>
    <w:rsid w:val="00385376"/>
    <w:rsid w:val="003871F0"/>
    <w:rsid w:val="00390E59"/>
    <w:rsid w:val="003B2637"/>
    <w:rsid w:val="003B4879"/>
    <w:rsid w:val="003B7989"/>
    <w:rsid w:val="003C7D16"/>
    <w:rsid w:val="003E1CDF"/>
    <w:rsid w:val="003E5F38"/>
    <w:rsid w:val="003E726E"/>
    <w:rsid w:val="003F64F6"/>
    <w:rsid w:val="004343B0"/>
    <w:rsid w:val="004426B9"/>
    <w:rsid w:val="004731B1"/>
    <w:rsid w:val="00482523"/>
    <w:rsid w:val="00497185"/>
    <w:rsid w:val="004A3A60"/>
    <w:rsid w:val="00521780"/>
    <w:rsid w:val="00523368"/>
    <w:rsid w:val="00541252"/>
    <w:rsid w:val="00543AF1"/>
    <w:rsid w:val="00546903"/>
    <w:rsid w:val="00547EBE"/>
    <w:rsid w:val="00550BCA"/>
    <w:rsid w:val="00574D7E"/>
    <w:rsid w:val="00575B79"/>
    <w:rsid w:val="005805B7"/>
    <w:rsid w:val="005B6737"/>
    <w:rsid w:val="005E7F2A"/>
    <w:rsid w:val="006004E0"/>
    <w:rsid w:val="00600AFA"/>
    <w:rsid w:val="006069A1"/>
    <w:rsid w:val="00621165"/>
    <w:rsid w:val="00624EE9"/>
    <w:rsid w:val="00634B17"/>
    <w:rsid w:val="00643650"/>
    <w:rsid w:val="00672674"/>
    <w:rsid w:val="00672C1E"/>
    <w:rsid w:val="00676545"/>
    <w:rsid w:val="00677748"/>
    <w:rsid w:val="00686EB5"/>
    <w:rsid w:val="006A4841"/>
    <w:rsid w:val="006B7D32"/>
    <w:rsid w:val="006C0BF3"/>
    <w:rsid w:val="006D04AF"/>
    <w:rsid w:val="006D2461"/>
    <w:rsid w:val="006F2266"/>
    <w:rsid w:val="00754AEE"/>
    <w:rsid w:val="00772DD5"/>
    <w:rsid w:val="007C2FCD"/>
    <w:rsid w:val="00801C16"/>
    <w:rsid w:val="008212BD"/>
    <w:rsid w:val="00852F0F"/>
    <w:rsid w:val="00866C66"/>
    <w:rsid w:val="00886E35"/>
    <w:rsid w:val="00896A39"/>
    <w:rsid w:val="008A6149"/>
    <w:rsid w:val="008D696E"/>
    <w:rsid w:val="008E0122"/>
    <w:rsid w:val="008E0CE1"/>
    <w:rsid w:val="008E15C9"/>
    <w:rsid w:val="008F671B"/>
    <w:rsid w:val="00904159"/>
    <w:rsid w:val="00905035"/>
    <w:rsid w:val="00916149"/>
    <w:rsid w:val="00920A1E"/>
    <w:rsid w:val="00925048"/>
    <w:rsid w:val="00927687"/>
    <w:rsid w:val="00933D05"/>
    <w:rsid w:val="00981BBC"/>
    <w:rsid w:val="0099324E"/>
    <w:rsid w:val="00995C08"/>
    <w:rsid w:val="00997711"/>
    <w:rsid w:val="009A15E8"/>
    <w:rsid w:val="009A163A"/>
    <w:rsid w:val="009B4653"/>
    <w:rsid w:val="009B6A36"/>
    <w:rsid w:val="009C0B28"/>
    <w:rsid w:val="009C1690"/>
    <w:rsid w:val="009C3481"/>
    <w:rsid w:val="009C39D2"/>
    <w:rsid w:val="009C3AFC"/>
    <w:rsid w:val="009D07E5"/>
    <w:rsid w:val="009D1A9B"/>
    <w:rsid w:val="009D44AF"/>
    <w:rsid w:val="009F626A"/>
    <w:rsid w:val="00A02AB9"/>
    <w:rsid w:val="00A1153F"/>
    <w:rsid w:val="00A3787A"/>
    <w:rsid w:val="00A51BD9"/>
    <w:rsid w:val="00A71AA9"/>
    <w:rsid w:val="00A95099"/>
    <w:rsid w:val="00AC2911"/>
    <w:rsid w:val="00AD2142"/>
    <w:rsid w:val="00AF1CC1"/>
    <w:rsid w:val="00AF4965"/>
    <w:rsid w:val="00AF6872"/>
    <w:rsid w:val="00B12275"/>
    <w:rsid w:val="00B42AB6"/>
    <w:rsid w:val="00B51206"/>
    <w:rsid w:val="00B60DF3"/>
    <w:rsid w:val="00B73338"/>
    <w:rsid w:val="00B82FDE"/>
    <w:rsid w:val="00B833F4"/>
    <w:rsid w:val="00BC4FB2"/>
    <w:rsid w:val="00BD774E"/>
    <w:rsid w:val="00BF0D36"/>
    <w:rsid w:val="00BF4B03"/>
    <w:rsid w:val="00C127B9"/>
    <w:rsid w:val="00C239EB"/>
    <w:rsid w:val="00C32E9E"/>
    <w:rsid w:val="00C366AE"/>
    <w:rsid w:val="00C42154"/>
    <w:rsid w:val="00C458FF"/>
    <w:rsid w:val="00C47F94"/>
    <w:rsid w:val="00C557E4"/>
    <w:rsid w:val="00C92E6A"/>
    <w:rsid w:val="00CC5C69"/>
    <w:rsid w:val="00CD0EF3"/>
    <w:rsid w:val="00CD4A18"/>
    <w:rsid w:val="00CE0DE0"/>
    <w:rsid w:val="00D015E1"/>
    <w:rsid w:val="00D36B95"/>
    <w:rsid w:val="00D43217"/>
    <w:rsid w:val="00D53E3E"/>
    <w:rsid w:val="00D54AFB"/>
    <w:rsid w:val="00D65F45"/>
    <w:rsid w:val="00DA2FE3"/>
    <w:rsid w:val="00DA4CAD"/>
    <w:rsid w:val="00DF51D1"/>
    <w:rsid w:val="00E121D1"/>
    <w:rsid w:val="00E37320"/>
    <w:rsid w:val="00E649F6"/>
    <w:rsid w:val="00ED037A"/>
    <w:rsid w:val="00F16086"/>
    <w:rsid w:val="00F703BA"/>
    <w:rsid w:val="00F852BE"/>
    <w:rsid w:val="00F92448"/>
    <w:rsid w:val="00FA4250"/>
    <w:rsid w:val="00FE1020"/>
    <w:rsid w:val="00FE291E"/>
    <w:rsid w:val="00FF14C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A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E9E"/>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5">
    <w:name w:val="A5"/>
    <w:uiPriority w:val="99"/>
    <w:rsid w:val="00C32E9E"/>
    <w:rPr>
      <w:rFonts w:cs="Myriad Pro Light"/>
      <w:b/>
      <w:bCs/>
      <w:color w:val="221E1F"/>
      <w:sz w:val="20"/>
      <w:szCs w:val="20"/>
    </w:rPr>
  </w:style>
  <w:style w:type="character" w:styleId="Hyperlink">
    <w:name w:val="Hyperlink"/>
    <w:basedOn w:val="DefaultParagraphFont"/>
    <w:uiPriority w:val="99"/>
    <w:unhideWhenUsed/>
    <w:rsid w:val="00DF51D1"/>
    <w:rPr>
      <w:color w:val="0000FF" w:themeColor="hyperlink"/>
      <w:u w:val="single"/>
    </w:rPr>
  </w:style>
  <w:style w:type="paragraph" w:styleId="BodyText2">
    <w:name w:val="Body Text 2"/>
    <w:basedOn w:val="Normal"/>
    <w:link w:val="BodyText2Char"/>
    <w:rsid w:val="00600AFA"/>
    <w:pPr>
      <w:spacing w:after="0" w:line="240" w:lineRule="auto"/>
      <w:jc w:val="center"/>
    </w:pPr>
    <w:rPr>
      <w:rFonts w:ascii="Times New Roman" w:eastAsia="Times New Roman" w:hAnsi="Times New Roman" w:cs="Times New Roman"/>
      <w:sz w:val="32"/>
      <w:szCs w:val="24"/>
      <w:u w:val="single"/>
      <w:lang w:val="en-GB"/>
    </w:rPr>
  </w:style>
  <w:style w:type="character" w:customStyle="1" w:styleId="BodyText2Char">
    <w:name w:val="Body Text 2 Char"/>
    <w:basedOn w:val="DefaultParagraphFont"/>
    <w:link w:val="BodyText2"/>
    <w:rsid w:val="00600AFA"/>
    <w:rPr>
      <w:rFonts w:ascii="Times New Roman" w:eastAsia="Times New Roman" w:hAnsi="Times New Roman" w:cs="Times New Roman"/>
      <w:sz w:val="32"/>
      <w:szCs w:val="24"/>
      <w:u w:val="single"/>
      <w:lang w:val="en-GB"/>
    </w:rPr>
  </w:style>
  <w:style w:type="paragraph" w:styleId="BodyText">
    <w:name w:val="Body Text"/>
    <w:aliases w:val=" 字元3"/>
    <w:basedOn w:val="Normal"/>
    <w:link w:val="BodyTextChar"/>
    <w:rsid w:val="00600AFA"/>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aliases w:val=" 字元3 Char"/>
    <w:basedOn w:val="DefaultParagraphFont"/>
    <w:link w:val="BodyText"/>
    <w:rsid w:val="00600AFA"/>
    <w:rPr>
      <w:rFonts w:ascii="Times New Roman" w:eastAsia="Times New Roman" w:hAnsi="Times New Roman" w:cs="Times New Roman"/>
      <w:sz w:val="24"/>
      <w:szCs w:val="24"/>
      <w:lang w:val="en-GB"/>
    </w:rPr>
  </w:style>
  <w:style w:type="paragraph" w:customStyle="1" w:styleId="xHeadChapB">
    <w:name w:val="xHeadChapB"/>
    <w:basedOn w:val="Normal"/>
    <w:rsid w:val="00600AFA"/>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36"/>
      <w:szCs w:val="36"/>
      <w:lang w:val="en-AU"/>
    </w:rPr>
  </w:style>
  <w:style w:type="paragraph" w:customStyle="1" w:styleId="TITRE">
    <w:name w:val="TITRE"/>
    <w:basedOn w:val="Normal"/>
    <w:uiPriority w:val="99"/>
    <w:rsid w:val="00600AFA"/>
    <w:pPr>
      <w:spacing w:after="0" w:line="240" w:lineRule="auto"/>
      <w:ind w:right="562"/>
      <w:jc w:val="center"/>
    </w:pPr>
    <w:rPr>
      <w:rFonts w:ascii="SimSun" w:eastAsia="SimSun" w:hAnsi="Calibri" w:cs="Times New Roman"/>
      <w:b/>
      <w:bCs/>
      <w:color w:val="000000"/>
      <w:sz w:val="32"/>
      <w:szCs w:val="32"/>
      <w:lang w:val="en-GB" w:eastAsia="fr-FR"/>
    </w:rPr>
  </w:style>
  <w:style w:type="paragraph" w:styleId="Header">
    <w:name w:val="header"/>
    <w:basedOn w:val="Normal"/>
    <w:link w:val="HeaderChar"/>
    <w:unhideWhenUsed/>
    <w:rsid w:val="00600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AFA"/>
  </w:style>
  <w:style w:type="paragraph" w:styleId="Footer">
    <w:name w:val="footer"/>
    <w:basedOn w:val="Normal"/>
    <w:link w:val="FooterChar"/>
    <w:unhideWhenUsed/>
    <w:rsid w:val="00600AFA"/>
    <w:pPr>
      <w:tabs>
        <w:tab w:val="center" w:pos="4513"/>
        <w:tab w:val="right" w:pos="9026"/>
      </w:tabs>
      <w:spacing w:after="0" w:line="240" w:lineRule="auto"/>
    </w:pPr>
  </w:style>
  <w:style w:type="character" w:customStyle="1" w:styleId="FooterChar">
    <w:name w:val="Footer Char"/>
    <w:basedOn w:val="DefaultParagraphFont"/>
    <w:link w:val="Footer"/>
    <w:rsid w:val="00600AFA"/>
  </w:style>
  <w:style w:type="paragraph" w:customStyle="1" w:styleId="Abstract">
    <w:name w:val="Abstract"/>
    <w:basedOn w:val="Heading1"/>
    <w:rsid w:val="00D54AFB"/>
    <w:pPr>
      <w:keepLines w:val="0"/>
      <w:tabs>
        <w:tab w:val="num" w:pos="3312"/>
      </w:tabs>
      <w:spacing w:before="40" w:line="240" w:lineRule="auto"/>
      <w:outlineLvl w:val="9"/>
    </w:pPr>
    <w:rPr>
      <w:rFonts w:ascii="Times New Roman" w:eastAsia="Times New Roman" w:hAnsi="Times New Roman" w:cs="Times New Roman"/>
      <w:color w:val="auto"/>
      <w:kern w:val="28"/>
      <w:sz w:val="24"/>
      <w:szCs w:val="24"/>
      <w:lang w:eastAsia="fr-FR"/>
    </w:rPr>
  </w:style>
  <w:style w:type="character" w:customStyle="1" w:styleId="Heading1Char">
    <w:name w:val="Heading 1 Char"/>
    <w:basedOn w:val="DefaultParagraphFont"/>
    <w:link w:val="Heading1"/>
    <w:uiPriority w:val="9"/>
    <w:rsid w:val="00D54AF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4731B1"/>
    <w:pPr>
      <w:ind w:left="720"/>
    </w:pPr>
    <w:rPr>
      <w:rFonts w:ascii="Calibri" w:eastAsia="SimSun" w:hAnsi="Calibri" w:cs="Times New Roman"/>
      <w:lang w:val="en-US" w:eastAsia="zh-CN"/>
    </w:rPr>
  </w:style>
  <w:style w:type="paragraph" w:customStyle="1" w:styleId="Titre1">
    <w:name w:val="Titre1"/>
    <w:basedOn w:val="Normal"/>
    <w:rsid w:val="00927687"/>
    <w:pPr>
      <w:spacing w:before="100" w:beforeAutospacing="1" w:after="100" w:afterAutospacing="1" w:line="240" w:lineRule="auto"/>
    </w:pPr>
    <w:rPr>
      <w:rFonts w:ascii="Times New Roman" w:eastAsia="Arial Unicode MS" w:hAnsi="Times New Roman" w:cs="Times New Roman"/>
      <w:color w:val="000000"/>
      <w:sz w:val="36"/>
      <w:szCs w:val="36"/>
      <w:lang w:eastAsia="fr-FR"/>
    </w:rPr>
  </w:style>
  <w:style w:type="paragraph" w:customStyle="1" w:styleId="PrformatHTML1">
    <w:name w:val="Préformaté HTML1"/>
    <w:basedOn w:val="Normal"/>
    <w:rsid w:val="00F1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pagecontents">
    <w:name w:val="pagecontents"/>
    <w:basedOn w:val="Normal"/>
    <w:rsid w:val="00F16086"/>
    <w:pPr>
      <w:spacing w:before="100" w:beforeAutospacing="1" w:after="100" w:afterAutospacing="1" w:line="240" w:lineRule="auto"/>
    </w:pPr>
    <w:rPr>
      <w:rFonts w:ascii="Verdana" w:eastAsia="Times New Roman" w:hAnsi="Verdana" w:cs="Times New Roman"/>
      <w:color w:val="000000"/>
      <w:sz w:val="17"/>
      <w:szCs w:val="17"/>
      <w:lang w:val="en-GB" w:eastAsia="en-GB"/>
    </w:rPr>
  </w:style>
  <w:style w:type="character" w:styleId="FootnoteReference">
    <w:name w:val="footnote reference"/>
    <w:uiPriority w:val="99"/>
    <w:rsid w:val="008F671B"/>
    <w:rPr>
      <w:rFonts w:cs="Times New Roman"/>
      <w:vertAlign w:val="superscript"/>
    </w:rPr>
  </w:style>
  <w:style w:type="paragraph" w:styleId="BodyTextIndent">
    <w:name w:val="Body Text Indent"/>
    <w:basedOn w:val="Normal"/>
    <w:link w:val="BodyTextIndentChar"/>
    <w:uiPriority w:val="99"/>
    <w:semiHidden/>
    <w:unhideWhenUsed/>
    <w:rsid w:val="00D36B95"/>
    <w:pPr>
      <w:spacing w:after="120"/>
      <w:ind w:left="283"/>
    </w:pPr>
  </w:style>
  <w:style w:type="character" w:customStyle="1" w:styleId="BodyTextIndentChar">
    <w:name w:val="Body Text Indent Char"/>
    <w:basedOn w:val="DefaultParagraphFont"/>
    <w:link w:val="BodyTextIndent"/>
    <w:uiPriority w:val="99"/>
    <w:semiHidden/>
    <w:rsid w:val="00D36B95"/>
  </w:style>
  <w:style w:type="paragraph" w:styleId="NormalWeb">
    <w:name w:val="Normal (Web)"/>
    <w:basedOn w:val="Normal"/>
    <w:uiPriority w:val="99"/>
    <w:semiHidden/>
    <w:unhideWhenUsed/>
    <w:rsid w:val="003C7D16"/>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31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3120DF"/>
    <w:rPr>
      <w:rFonts w:ascii="Courier New" w:eastAsia="Times New Roman" w:hAnsi="Courier New" w:cs="Courier New"/>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4A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E9E"/>
    <w:pPr>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5">
    <w:name w:val="A5"/>
    <w:uiPriority w:val="99"/>
    <w:rsid w:val="00C32E9E"/>
    <w:rPr>
      <w:rFonts w:cs="Myriad Pro Light"/>
      <w:b/>
      <w:bCs/>
      <w:color w:val="221E1F"/>
      <w:sz w:val="20"/>
      <w:szCs w:val="20"/>
    </w:rPr>
  </w:style>
  <w:style w:type="character" w:styleId="Hyperlink">
    <w:name w:val="Hyperlink"/>
    <w:basedOn w:val="DefaultParagraphFont"/>
    <w:uiPriority w:val="99"/>
    <w:unhideWhenUsed/>
    <w:rsid w:val="00DF51D1"/>
    <w:rPr>
      <w:color w:val="0000FF" w:themeColor="hyperlink"/>
      <w:u w:val="single"/>
    </w:rPr>
  </w:style>
  <w:style w:type="paragraph" w:styleId="BodyText2">
    <w:name w:val="Body Text 2"/>
    <w:basedOn w:val="Normal"/>
    <w:link w:val="BodyText2Char"/>
    <w:rsid w:val="00600AFA"/>
    <w:pPr>
      <w:spacing w:after="0" w:line="240" w:lineRule="auto"/>
      <w:jc w:val="center"/>
    </w:pPr>
    <w:rPr>
      <w:rFonts w:ascii="Times New Roman" w:eastAsia="Times New Roman" w:hAnsi="Times New Roman" w:cs="Times New Roman"/>
      <w:sz w:val="32"/>
      <w:szCs w:val="24"/>
      <w:u w:val="single"/>
      <w:lang w:val="en-GB"/>
    </w:rPr>
  </w:style>
  <w:style w:type="character" w:customStyle="1" w:styleId="BodyText2Char">
    <w:name w:val="Body Text 2 Char"/>
    <w:basedOn w:val="DefaultParagraphFont"/>
    <w:link w:val="BodyText2"/>
    <w:rsid w:val="00600AFA"/>
    <w:rPr>
      <w:rFonts w:ascii="Times New Roman" w:eastAsia="Times New Roman" w:hAnsi="Times New Roman" w:cs="Times New Roman"/>
      <w:sz w:val="32"/>
      <w:szCs w:val="24"/>
      <w:u w:val="single"/>
      <w:lang w:val="en-GB"/>
    </w:rPr>
  </w:style>
  <w:style w:type="paragraph" w:styleId="BodyText">
    <w:name w:val="Body Text"/>
    <w:aliases w:val=" 字元3"/>
    <w:basedOn w:val="Normal"/>
    <w:link w:val="BodyTextChar"/>
    <w:rsid w:val="00600AFA"/>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aliases w:val=" 字元3 Char"/>
    <w:basedOn w:val="DefaultParagraphFont"/>
    <w:link w:val="BodyText"/>
    <w:rsid w:val="00600AFA"/>
    <w:rPr>
      <w:rFonts w:ascii="Times New Roman" w:eastAsia="Times New Roman" w:hAnsi="Times New Roman" w:cs="Times New Roman"/>
      <w:sz w:val="24"/>
      <w:szCs w:val="24"/>
      <w:lang w:val="en-GB"/>
    </w:rPr>
  </w:style>
  <w:style w:type="paragraph" w:customStyle="1" w:styleId="xHeadChapB">
    <w:name w:val="xHeadChapB"/>
    <w:basedOn w:val="Normal"/>
    <w:rsid w:val="00600AFA"/>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36"/>
      <w:szCs w:val="36"/>
      <w:lang w:val="en-AU"/>
    </w:rPr>
  </w:style>
  <w:style w:type="paragraph" w:customStyle="1" w:styleId="TITRE">
    <w:name w:val="TITRE"/>
    <w:basedOn w:val="Normal"/>
    <w:uiPriority w:val="99"/>
    <w:rsid w:val="00600AFA"/>
    <w:pPr>
      <w:spacing w:after="0" w:line="240" w:lineRule="auto"/>
      <w:ind w:right="562"/>
      <w:jc w:val="center"/>
    </w:pPr>
    <w:rPr>
      <w:rFonts w:ascii="SimSun" w:eastAsia="SimSun" w:hAnsi="Calibri" w:cs="Times New Roman"/>
      <w:b/>
      <w:bCs/>
      <w:color w:val="000000"/>
      <w:sz w:val="32"/>
      <w:szCs w:val="32"/>
      <w:lang w:val="en-GB" w:eastAsia="fr-FR"/>
    </w:rPr>
  </w:style>
  <w:style w:type="paragraph" w:styleId="Header">
    <w:name w:val="header"/>
    <w:basedOn w:val="Normal"/>
    <w:link w:val="HeaderChar"/>
    <w:unhideWhenUsed/>
    <w:rsid w:val="00600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AFA"/>
  </w:style>
  <w:style w:type="paragraph" w:styleId="Footer">
    <w:name w:val="footer"/>
    <w:basedOn w:val="Normal"/>
    <w:link w:val="FooterChar"/>
    <w:unhideWhenUsed/>
    <w:rsid w:val="00600AFA"/>
    <w:pPr>
      <w:tabs>
        <w:tab w:val="center" w:pos="4513"/>
        <w:tab w:val="right" w:pos="9026"/>
      </w:tabs>
      <w:spacing w:after="0" w:line="240" w:lineRule="auto"/>
    </w:pPr>
  </w:style>
  <w:style w:type="character" w:customStyle="1" w:styleId="FooterChar">
    <w:name w:val="Footer Char"/>
    <w:basedOn w:val="DefaultParagraphFont"/>
    <w:link w:val="Footer"/>
    <w:rsid w:val="00600AFA"/>
  </w:style>
  <w:style w:type="paragraph" w:customStyle="1" w:styleId="Abstract">
    <w:name w:val="Abstract"/>
    <w:basedOn w:val="Heading1"/>
    <w:rsid w:val="00D54AFB"/>
    <w:pPr>
      <w:keepLines w:val="0"/>
      <w:tabs>
        <w:tab w:val="num" w:pos="3312"/>
      </w:tabs>
      <w:spacing w:before="40" w:line="240" w:lineRule="auto"/>
      <w:outlineLvl w:val="9"/>
    </w:pPr>
    <w:rPr>
      <w:rFonts w:ascii="Times New Roman" w:eastAsia="Times New Roman" w:hAnsi="Times New Roman" w:cs="Times New Roman"/>
      <w:color w:val="auto"/>
      <w:kern w:val="28"/>
      <w:sz w:val="24"/>
      <w:szCs w:val="24"/>
      <w:lang w:eastAsia="fr-FR"/>
    </w:rPr>
  </w:style>
  <w:style w:type="character" w:customStyle="1" w:styleId="Heading1Char">
    <w:name w:val="Heading 1 Char"/>
    <w:basedOn w:val="DefaultParagraphFont"/>
    <w:link w:val="Heading1"/>
    <w:uiPriority w:val="9"/>
    <w:rsid w:val="00D54AF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4731B1"/>
    <w:pPr>
      <w:ind w:left="720"/>
    </w:pPr>
    <w:rPr>
      <w:rFonts w:ascii="Calibri" w:eastAsia="SimSun" w:hAnsi="Calibri" w:cs="Times New Roman"/>
      <w:lang w:val="en-US" w:eastAsia="zh-CN"/>
    </w:rPr>
  </w:style>
  <w:style w:type="paragraph" w:customStyle="1" w:styleId="Titre1">
    <w:name w:val="Titre1"/>
    <w:basedOn w:val="Normal"/>
    <w:rsid w:val="00927687"/>
    <w:pPr>
      <w:spacing w:before="100" w:beforeAutospacing="1" w:after="100" w:afterAutospacing="1" w:line="240" w:lineRule="auto"/>
    </w:pPr>
    <w:rPr>
      <w:rFonts w:ascii="Times New Roman" w:eastAsia="Arial Unicode MS" w:hAnsi="Times New Roman" w:cs="Times New Roman"/>
      <w:color w:val="000000"/>
      <w:sz w:val="36"/>
      <w:szCs w:val="36"/>
      <w:lang w:eastAsia="fr-FR"/>
    </w:rPr>
  </w:style>
  <w:style w:type="paragraph" w:customStyle="1" w:styleId="PrformatHTML1">
    <w:name w:val="Préformaté HTML1"/>
    <w:basedOn w:val="Normal"/>
    <w:rsid w:val="00F16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pagecontents">
    <w:name w:val="pagecontents"/>
    <w:basedOn w:val="Normal"/>
    <w:rsid w:val="00F16086"/>
    <w:pPr>
      <w:spacing w:before="100" w:beforeAutospacing="1" w:after="100" w:afterAutospacing="1" w:line="240" w:lineRule="auto"/>
    </w:pPr>
    <w:rPr>
      <w:rFonts w:ascii="Verdana" w:eastAsia="Times New Roman" w:hAnsi="Verdana" w:cs="Times New Roman"/>
      <w:color w:val="000000"/>
      <w:sz w:val="17"/>
      <w:szCs w:val="17"/>
      <w:lang w:val="en-GB" w:eastAsia="en-GB"/>
    </w:rPr>
  </w:style>
  <w:style w:type="character" w:styleId="FootnoteReference">
    <w:name w:val="footnote reference"/>
    <w:uiPriority w:val="99"/>
    <w:rsid w:val="008F671B"/>
    <w:rPr>
      <w:rFonts w:cs="Times New Roman"/>
      <w:vertAlign w:val="superscript"/>
    </w:rPr>
  </w:style>
  <w:style w:type="paragraph" w:styleId="BodyTextIndent">
    <w:name w:val="Body Text Indent"/>
    <w:basedOn w:val="Normal"/>
    <w:link w:val="BodyTextIndentChar"/>
    <w:uiPriority w:val="99"/>
    <w:semiHidden/>
    <w:unhideWhenUsed/>
    <w:rsid w:val="00D36B95"/>
    <w:pPr>
      <w:spacing w:after="120"/>
      <w:ind w:left="283"/>
    </w:pPr>
  </w:style>
  <w:style w:type="character" w:customStyle="1" w:styleId="BodyTextIndentChar">
    <w:name w:val="Body Text Indent Char"/>
    <w:basedOn w:val="DefaultParagraphFont"/>
    <w:link w:val="BodyTextIndent"/>
    <w:uiPriority w:val="99"/>
    <w:semiHidden/>
    <w:rsid w:val="00D36B95"/>
  </w:style>
  <w:style w:type="paragraph" w:styleId="NormalWeb">
    <w:name w:val="Normal (Web)"/>
    <w:basedOn w:val="Normal"/>
    <w:uiPriority w:val="99"/>
    <w:semiHidden/>
    <w:unhideWhenUsed/>
    <w:rsid w:val="003C7D16"/>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31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3120DF"/>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5585">
      <w:bodyDiv w:val="1"/>
      <w:marLeft w:val="0"/>
      <w:marRight w:val="0"/>
      <w:marTop w:val="0"/>
      <w:marBottom w:val="0"/>
      <w:divBdr>
        <w:top w:val="none" w:sz="0" w:space="0" w:color="auto"/>
        <w:left w:val="none" w:sz="0" w:space="0" w:color="auto"/>
        <w:bottom w:val="none" w:sz="0" w:space="0" w:color="auto"/>
        <w:right w:val="none" w:sz="0" w:space="0" w:color="auto"/>
      </w:divBdr>
    </w:div>
    <w:div w:id="973565353">
      <w:bodyDiv w:val="1"/>
      <w:marLeft w:val="0"/>
      <w:marRight w:val="0"/>
      <w:marTop w:val="0"/>
      <w:marBottom w:val="0"/>
      <w:divBdr>
        <w:top w:val="none" w:sz="0" w:space="0" w:color="auto"/>
        <w:left w:val="none" w:sz="0" w:space="0" w:color="auto"/>
        <w:bottom w:val="none" w:sz="0" w:space="0" w:color="auto"/>
        <w:right w:val="none" w:sz="0" w:space="0" w:color="auto"/>
      </w:divBdr>
    </w:div>
    <w:div w:id="21352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7BFDFF0-9B69-4580-9FBB-81BF5227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1084</Words>
  <Characters>6181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Heriot-Watt University</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Towers</dc:creator>
  <cp:lastModifiedBy>TOWERS, Neil (Prof)</cp:lastModifiedBy>
  <cp:revision>4</cp:revision>
  <dcterms:created xsi:type="dcterms:W3CDTF">2016-05-25T12:34:00Z</dcterms:created>
  <dcterms:modified xsi:type="dcterms:W3CDTF">2016-05-25T13:12:00Z</dcterms:modified>
</cp:coreProperties>
</file>