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4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8846"/>
      </w:tblGrid>
      <w:tr w:rsidR="00B3311C" w:rsidRPr="00223F0D" w14:paraId="5A6C8C8C" w14:textId="77777777" w:rsidTr="0094364C">
        <w:tc>
          <w:tcPr>
            <w:tcW w:w="14228" w:type="dxa"/>
            <w:gridSpan w:val="2"/>
            <w:tcBorders>
              <w:bottom w:val="single" w:sz="4" w:space="0" w:color="auto"/>
            </w:tcBorders>
          </w:tcPr>
          <w:p w14:paraId="37A5459E" w14:textId="0E6573D0" w:rsidR="00B3311C" w:rsidRPr="00B3311C" w:rsidRDefault="00E02B73" w:rsidP="0094364C">
            <w:pPr>
              <w:spacing w:line="360" w:lineRule="auto"/>
              <w:jc w:val="both"/>
              <w:rPr>
                <w:rFonts w:ascii="Times New Roman" w:hAnsi="Times New Roman" w:cs="Times New Roman"/>
                <w:b/>
                <w:color w:val="333333"/>
                <w:spacing w:val="4"/>
                <w:sz w:val="24"/>
                <w:szCs w:val="24"/>
                <w:shd w:val="clear" w:color="auto" w:fill="FCFCFC"/>
                <w:lang w:val="en-US"/>
              </w:rPr>
            </w:pPr>
            <w:r>
              <w:rPr>
                <w:rFonts w:ascii="Times New Roman" w:hAnsi="Times New Roman" w:cs="Times New Roman"/>
                <w:b/>
                <w:sz w:val="24"/>
                <w:szCs w:val="24"/>
                <w:lang w:val="en-US"/>
              </w:rPr>
              <w:t xml:space="preserve">Appendix </w:t>
            </w:r>
            <w:r w:rsidR="00223F0D">
              <w:rPr>
                <w:rFonts w:ascii="Times New Roman" w:hAnsi="Times New Roman" w:cs="Times New Roman"/>
                <w:b/>
                <w:sz w:val="24"/>
                <w:szCs w:val="24"/>
                <w:lang w:val="en-US"/>
              </w:rPr>
              <w:t>4</w:t>
            </w:r>
            <w:bookmarkStart w:id="0" w:name="_GoBack"/>
            <w:bookmarkEnd w:id="0"/>
            <w:r w:rsidR="0067324C">
              <w:rPr>
                <w:rFonts w:ascii="Times New Roman" w:hAnsi="Times New Roman" w:cs="Times New Roman"/>
                <w:b/>
                <w:sz w:val="24"/>
                <w:szCs w:val="24"/>
                <w:lang w:val="en-US"/>
              </w:rPr>
              <w:t>: Description of the 8</w:t>
            </w:r>
            <w:r w:rsidR="00B3311C" w:rsidRPr="00B3311C">
              <w:rPr>
                <w:rFonts w:ascii="Times New Roman" w:hAnsi="Times New Roman" w:cs="Times New Roman"/>
                <w:b/>
                <w:sz w:val="24"/>
                <w:szCs w:val="24"/>
                <w:lang w:val="en-US"/>
              </w:rPr>
              <w:t xml:space="preserve"> criteria designed to assess risk of bias </w:t>
            </w:r>
            <w:r w:rsidR="00B3311C" w:rsidRPr="00B3311C">
              <w:rPr>
                <w:rFonts w:ascii="Times New Roman" w:hAnsi="Times New Roman" w:cs="Times New Roman"/>
                <w:b/>
                <w:sz w:val="24"/>
                <w:szCs w:val="24"/>
                <w:lang w:val="en-GB"/>
              </w:rPr>
              <w:t>of external validity quality</w:t>
            </w:r>
            <w:r w:rsidR="00B3311C" w:rsidRPr="00B3311C">
              <w:rPr>
                <w:rFonts w:ascii="Times New Roman" w:hAnsi="Times New Roman" w:cs="Times New Roman"/>
                <w:b/>
                <w:sz w:val="24"/>
                <w:szCs w:val="24"/>
                <w:lang w:val="en-US"/>
              </w:rPr>
              <w:t xml:space="preserve"> in the </w:t>
            </w:r>
            <w:proofErr w:type="spellStart"/>
            <w:r w:rsidR="00B3311C" w:rsidRPr="00B3311C">
              <w:rPr>
                <w:rFonts w:ascii="Times New Roman" w:hAnsi="Times New Roman" w:cs="Times New Roman"/>
                <w:b/>
                <w:sz w:val="24"/>
                <w:szCs w:val="24"/>
                <w:lang w:val="en-US"/>
              </w:rPr>
              <w:t>studies</w:t>
            </w:r>
            <w:r w:rsidR="00B3311C" w:rsidRPr="00B3311C">
              <w:rPr>
                <w:rFonts w:ascii="Times New Roman" w:hAnsi="Times New Roman" w:cs="Times New Roman"/>
                <w:b/>
                <w:sz w:val="24"/>
                <w:szCs w:val="24"/>
                <w:vertAlign w:val="superscript"/>
                <w:lang w:val="en-US"/>
              </w:rPr>
              <w:t>T</w:t>
            </w:r>
            <w:proofErr w:type="spellEnd"/>
            <w:r w:rsidR="00B3311C" w:rsidRPr="00B3311C">
              <w:rPr>
                <w:rFonts w:ascii="Times New Roman" w:hAnsi="Times New Roman" w:cs="Times New Roman"/>
                <w:b/>
                <w:sz w:val="24"/>
                <w:szCs w:val="24"/>
                <w:lang w:val="en-US"/>
              </w:rPr>
              <w:t xml:space="preserve">. </w:t>
            </w:r>
            <w:r w:rsidR="0094364C">
              <w:rPr>
                <w:rFonts w:ascii="Times New Roman" w:hAnsi="Times New Roman" w:cs="Times New Roman"/>
                <w:b/>
                <w:sz w:val="24"/>
                <w:szCs w:val="24"/>
                <w:lang w:val="en-US"/>
              </w:rPr>
              <w:t>This instrument is an</w:t>
            </w:r>
            <w:r w:rsidR="00B3311C" w:rsidRPr="00B3311C">
              <w:rPr>
                <w:rFonts w:ascii="Times New Roman" w:hAnsi="Times New Roman" w:cs="Times New Roman"/>
                <w:b/>
                <w:sz w:val="24"/>
                <w:szCs w:val="24"/>
                <w:lang w:val="en-US"/>
              </w:rPr>
              <w:t xml:space="preserve"> adapted</w:t>
            </w:r>
            <w:r w:rsidR="0094364C">
              <w:rPr>
                <w:rFonts w:ascii="Times New Roman" w:hAnsi="Times New Roman" w:cs="Times New Roman"/>
                <w:b/>
                <w:sz w:val="24"/>
                <w:szCs w:val="24"/>
                <w:lang w:val="en-US"/>
              </w:rPr>
              <w:t xml:space="preserve"> version</w:t>
            </w:r>
            <w:r w:rsidR="00B3311C" w:rsidRPr="00B3311C">
              <w:rPr>
                <w:rFonts w:ascii="Times New Roman" w:hAnsi="Times New Roman" w:cs="Times New Roman"/>
                <w:b/>
                <w:sz w:val="24"/>
                <w:szCs w:val="24"/>
                <w:lang w:val="en-US"/>
              </w:rPr>
              <w:t xml:space="preserve"> </w:t>
            </w:r>
            <w:r w:rsidR="0094364C">
              <w:rPr>
                <w:rFonts w:ascii="Times New Roman" w:hAnsi="Times New Roman" w:cs="Times New Roman"/>
                <w:b/>
                <w:sz w:val="24"/>
                <w:szCs w:val="24"/>
                <w:lang w:val="en-US"/>
              </w:rPr>
              <w:t>of</w:t>
            </w:r>
            <w:r w:rsidR="00B3311C" w:rsidRPr="00B3311C">
              <w:rPr>
                <w:rFonts w:ascii="Times New Roman" w:hAnsi="Times New Roman" w:cs="Times New Roman"/>
                <w:b/>
                <w:sz w:val="24"/>
                <w:szCs w:val="24"/>
                <w:lang w:val="en-US"/>
              </w:rPr>
              <w:t xml:space="preserve"> the </w:t>
            </w:r>
            <w:r w:rsidR="00B3311C" w:rsidRPr="00B3311C">
              <w:rPr>
                <w:rFonts w:ascii="Times New Roman" w:hAnsi="Times New Roman" w:cs="Times New Roman"/>
                <w:b/>
                <w:sz w:val="24"/>
                <w:szCs w:val="24"/>
                <w:lang w:val="en-GB"/>
              </w:rPr>
              <w:t>Newcastle Ottawa Scale (NOS) for cohort studies.</w:t>
            </w:r>
          </w:p>
        </w:tc>
      </w:tr>
      <w:tr w:rsidR="00FF582C" w:rsidRPr="006952F1" w14:paraId="7859E5EF" w14:textId="77777777" w:rsidTr="0094364C">
        <w:tc>
          <w:tcPr>
            <w:tcW w:w="5382" w:type="dxa"/>
            <w:tcBorders>
              <w:top w:val="single" w:sz="4" w:space="0" w:color="auto"/>
              <w:bottom w:val="single" w:sz="4" w:space="0" w:color="auto"/>
            </w:tcBorders>
          </w:tcPr>
          <w:p w14:paraId="151796D4" w14:textId="4129171E" w:rsidR="00FF582C" w:rsidRPr="001E04C0" w:rsidRDefault="00B3311C" w:rsidP="0094364C">
            <w:pPr>
              <w:spacing w:line="360" w:lineRule="auto"/>
              <w:jc w:val="center"/>
              <w:rPr>
                <w:rFonts w:ascii="Times New Roman" w:hAnsi="Times New Roman" w:cs="Times New Roman"/>
                <w:b/>
                <w:color w:val="333333"/>
                <w:spacing w:val="4"/>
                <w:sz w:val="24"/>
                <w:szCs w:val="24"/>
                <w:shd w:val="clear" w:color="auto" w:fill="FCFCFC"/>
                <w:lang w:val="en-GB"/>
              </w:rPr>
            </w:pPr>
            <w:r>
              <w:rPr>
                <w:rFonts w:ascii="Times New Roman" w:hAnsi="Times New Roman" w:cs="Times New Roman"/>
                <w:b/>
                <w:color w:val="333333"/>
                <w:spacing w:val="4"/>
                <w:sz w:val="24"/>
                <w:szCs w:val="24"/>
                <w:shd w:val="clear" w:color="auto" w:fill="FCFCFC"/>
                <w:lang w:val="en-GB"/>
              </w:rPr>
              <w:t>Criterion</w:t>
            </w:r>
          </w:p>
        </w:tc>
        <w:tc>
          <w:tcPr>
            <w:tcW w:w="8846" w:type="dxa"/>
            <w:tcBorders>
              <w:top w:val="single" w:sz="4" w:space="0" w:color="auto"/>
              <w:bottom w:val="single" w:sz="4" w:space="0" w:color="auto"/>
            </w:tcBorders>
            <w:vAlign w:val="center"/>
          </w:tcPr>
          <w:p w14:paraId="4501FD29" w14:textId="0B23C507" w:rsidR="00FF582C" w:rsidRPr="001E04C0" w:rsidRDefault="00FF582C" w:rsidP="0094364C">
            <w:pPr>
              <w:spacing w:line="360" w:lineRule="auto"/>
              <w:jc w:val="center"/>
              <w:rPr>
                <w:rFonts w:ascii="Times New Roman" w:hAnsi="Times New Roman" w:cs="Times New Roman"/>
                <w:b/>
                <w:color w:val="333333"/>
                <w:spacing w:val="4"/>
                <w:sz w:val="24"/>
                <w:szCs w:val="24"/>
                <w:shd w:val="clear" w:color="auto" w:fill="FCFCFC"/>
                <w:lang w:val="en-GB"/>
              </w:rPr>
            </w:pPr>
            <w:r w:rsidRPr="001E04C0">
              <w:rPr>
                <w:rFonts w:ascii="Times New Roman" w:hAnsi="Times New Roman" w:cs="Times New Roman"/>
                <w:b/>
                <w:color w:val="333333"/>
                <w:spacing w:val="4"/>
                <w:sz w:val="24"/>
                <w:szCs w:val="24"/>
                <w:shd w:val="clear" w:color="auto" w:fill="FCFCFC"/>
                <w:lang w:val="en-GB"/>
              </w:rPr>
              <w:t>Description of criteria</w:t>
            </w:r>
          </w:p>
        </w:tc>
      </w:tr>
      <w:tr w:rsidR="00FF582C" w:rsidRPr="00223F0D" w14:paraId="40EFC642" w14:textId="77777777" w:rsidTr="0094364C">
        <w:tc>
          <w:tcPr>
            <w:tcW w:w="5382" w:type="dxa"/>
            <w:tcBorders>
              <w:top w:val="single" w:sz="4" w:space="0" w:color="auto"/>
              <w:bottom w:val="dashed" w:sz="4" w:space="0" w:color="auto"/>
            </w:tcBorders>
          </w:tcPr>
          <w:p w14:paraId="6F2B5E41" w14:textId="3B712710" w:rsidR="00FF582C" w:rsidRPr="001E04C0" w:rsidRDefault="00FF582C" w:rsidP="0094364C">
            <w:pPr>
              <w:pStyle w:val="Prrafodelista"/>
              <w:numPr>
                <w:ilvl w:val="0"/>
                <w:numId w:val="2"/>
              </w:numPr>
              <w:spacing w:line="360" w:lineRule="auto"/>
              <w:contextualSpacing w:val="0"/>
              <w:rPr>
                <w:rFonts w:ascii="Helvetica" w:hAnsi="Helvetica" w:cs="Helvetica"/>
                <w:color w:val="333333"/>
                <w:spacing w:val="4"/>
                <w:sz w:val="24"/>
                <w:szCs w:val="24"/>
                <w:shd w:val="clear" w:color="auto" w:fill="FCFCFC"/>
                <w:lang w:val="en-GB"/>
              </w:rPr>
            </w:pPr>
            <w:r w:rsidRPr="001E04C0">
              <w:rPr>
                <w:rFonts w:ascii="Times New Roman" w:eastAsia="Times New Roman" w:hAnsi="Times New Roman" w:cs="Times New Roman"/>
                <w:color w:val="000000" w:themeColor="text1"/>
                <w:sz w:val="24"/>
                <w:szCs w:val="24"/>
                <w:lang w:val="en-GB"/>
              </w:rPr>
              <w:t>Description or type of football players.</w:t>
            </w:r>
          </w:p>
        </w:tc>
        <w:tc>
          <w:tcPr>
            <w:tcW w:w="8846" w:type="dxa"/>
            <w:tcBorders>
              <w:top w:val="single" w:sz="4" w:space="0" w:color="auto"/>
              <w:bottom w:val="dashed" w:sz="4" w:space="0" w:color="auto"/>
            </w:tcBorders>
          </w:tcPr>
          <w:p w14:paraId="6DCBDD25" w14:textId="60F08325" w:rsidR="00FF582C" w:rsidRPr="001E04C0" w:rsidRDefault="00FF582C" w:rsidP="0094364C">
            <w:pPr>
              <w:spacing w:line="360" w:lineRule="auto"/>
              <w:jc w:val="both"/>
              <w:rPr>
                <w:rFonts w:ascii="Helvetica" w:hAnsi="Helvetica" w:cs="Helvetica"/>
                <w:color w:val="333333"/>
                <w:spacing w:val="4"/>
                <w:sz w:val="24"/>
                <w:szCs w:val="24"/>
                <w:shd w:val="clear" w:color="auto" w:fill="FCFCFC"/>
                <w:lang w:val="en-GB"/>
              </w:rPr>
            </w:pPr>
            <w:r w:rsidRPr="001E04C0">
              <w:rPr>
                <w:rFonts w:ascii="Times New Roman" w:eastAsia="Times New Roman" w:hAnsi="Times New Roman" w:cs="Times New Roman"/>
                <w:color w:val="000000" w:themeColor="text1"/>
                <w:sz w:val="24"/>
                <w:szCs w:val="24"/>
                <w:lang w:val="en-GB"/>
              </w:rPr>
              <w:t>There are several types of football players (am</w:t>
            </w:r>
            <w:r>
              <w:rPr>
                <w:rFonts w:ascii="Times New Roman" w:eastAsia="Times New Roman" w:hAnsi="Times New Roman" w:cs="Times New Roman"/>
                <w:color w:val="000000" w:themeColor="text1"/>
                <w:sz w:val="24"/>
                <w:szCs w:val="24"/>
                <w:lang w:val="en-GB"/>
              </w:rPr>
              <w:t>ateur vs. professional, males vs. females</w:t>
            </w:r>
            <w:r w:rsidRPr="001E04C0">
              <w:rPr>
                <w:rFonts w:ascii="Times New Roman" w:eastAsia="Times New Roman" w:hAnsi="Times New Roman" w:cs="Times New Roman"/>
                <w:color w:val="000000" w:themeColor="text1"/>
                <w:sz w:val="24"/>
                <w:szCs w:val="24"/>
                <w:lang w:val="en-GB"/>
              </w:rPr>
              <w:t>). Without the description regarding to the type of football players it is impossible to conclude which population the incidence rates refer to. Studies that reported a description of the football players or informed the type of football player</w:t>
            </w:r>
            <w:r>
              <w:rPr>
                <w:rFonts w:ascii="Times New Roman" w:eastAsia="Times New Roman" w:hAnsi="Times New Roman" w:cs="Times New Roman"/>
                <w:color w:val="000000" w:themeColor="text1"/>
                <w:sz w:val="24"/>
                <w:szCs w:val="24"/>
                <w:lang w:val="en-GB"/>
              </w:rPr>
              <w:t>s</w:t>
            </w:r>
            <w:r w:rsidRPr="001E04C0">
              <w:rPr>
                <w:rFonts w:ascii="Times New Roman" w:eastAsia="Times New Roman" w:hAnsi="Times New Roman" w:cs="Times New Roman"/>
                <w:color w:val="000000" w:themeColor="text1"/>
                <w:sz w:val="24"/>
                <w:szCs w:val="24"/>
                <w:lang w:val="en-GB"/>
              </w:rPr>
              <w:t xml:space="preserve"> receive a star for this criterion. Studies conducted in football tournaments (which may determine the type of fo</w:t>
            </w:r>
            <w:r>
              <w:rPr>
                <w:rFonts w:ascii="Times New Roman" w:eastAsia="Times New Roman" w:hAnsi="Times New Roman" w:cs="Times New Roman"/>
                <w:color w:val="000000" w:themeColor="text1"/>
                <w:sz w:val="24"/>
                <w:szCs w:val="24"/>
                <w:lang w:val="en-GB"/>
              </w:rPr>
              <w:t>otball players; e.g., World cup tournaments</w:t>
            </w:r>
            <w:r w:rsidRPr="001E04C0">
              <w:rPr>
                <w:rFonts w:ascii="Times New Roman" w:eastAsia="Times New Roman" w:hAnsi="Times New Roman" w:cs="Times New Roman"/>
                <w:color w:val="000000" w:themeColor="text1"/>
                <w:sz w:val="24"/>
                <w:szCs w:val="24"/>
                <w:lang w:val="en-GB"/>
              </w:rPr>
              <w:t>) and which describe the race characteristics receive a star for this criterion as well. Studies that did not describe the characteristics or the type of football players, and studies conducted in football tournaments that did not describe the characteristics of the tournament did not receive a star for this criterion</w:t>
            </w:r>
            <w:r>
              <w:rPr>
                <w:rFonts w:ascii="Times New Roman" w:eastAsia="Times New Roman" w:hAnsi="Times New Roman" w:cs="Times New Roman"/>
                <w:color w:val="000000" w:themeColor="text1"/>
                <w:sz w:val="24"/>
                <w:szCs w:val="24"/>
                <w:lang w:val="en-GB"/>
              </w:rPr>
              <w:t>.</w:t>
            </w:r>
          </w:p>
        </w:tc>
      </w:tr>
      <w:tr w:rsidR="00FF582C" w:rsidRPr="00223F0D" w14:paraId="1A9587A8" w14:textId="77777777" w:rsidTr="0094364C">
        <w:tc>
          <w:tcPr>
            <w:tcW w:w="5382" w:type="dxa"/>
            <w:tcBorders>
              <w:top w:val="dashed" w:sz="4" w:space="0" w:color="auto"/>
              <w:bottom w:val="dashed" w:sz="4" w:space="0" w:color="auto"/>
            </w:tcBorders>
          </w:tcPr>
          <w:p w14:paraId="06D398A9" w14:textId="56628F3E" w:rsidR="00FF582C" w:rsidRPr="001E04C0" w:rsidRDefault="00FF582C" w:rsidP="0094364C">
            <w:pPr>
              <w:pStyle w:val="Prrafodelista"/>
              <w:numPr>
                <w:ilvl w:val="0"/>
                <w:numId w:val="2"/>
              </w:numPr>
              <w:spacing w:line="360" w:lineRule="auto"/>
              <w:contextualSpacing w:val="0"/>
              <w:jc w:val="both"/>
              <w:rPr>
                <w:rFonts w:ascii="Times New Roman" w:eastAsia="Times New Roman" w:hAnsi="Times New Roman" w:cs="Times New Roman"/>
                <w:color w:val="000000" w:themeColor="text1"/>
                <w:sz w:val="24"/>
                <w:szCs w:val="24"/>
                <w:lang w:val="en-GB"/>
              </w:rPr>
            </w:pPr>
            <w:r w:rsidRPr="001E04C0">
              <w:rPr>
                <w:rFonts w:ascii="Times New Roman" w:eastAsia="Times New Roman" w:hAnsi="Times New Roman" w:cs="Times New Roman"/>
                <w:color w:val="000000" w:themeColor="text1"/>
                <w:sz w:val="24"/>
                <w:szCs w:val="24"/>
                <w:lang w:val="en-GB"/>
              </w:rPr>
              <w:t xml:space="preserve">Definition of </w:t>
            </w:r>
            <w:r w:rsidR="00315420">
              <w:rPr>
                <w:rFonts w:ascii="Times New Roman" w:eastAsia="Times New Roman" w:hAnsi="Times New Roman" w:cs="Times New Roman"/>
                <w:color w:val="000000" w:themeColor="text1"/>
                <w:sz w:val="24"/>
                <w:szCs w:val="24"/>
                <w:lang w:val="en-GB"/>
              </w:rPr>
              <w:t>football-related</w:t>
            </w:r>
            <w:r w:rsidRPr="001E04C0">
              <w:rPr>
                <w:rFonts w:ascii="Times New Roman" w:eastAsia="Times New Roman" w:hAnsi="Times New Roman" w:cs="Times New Roman"/>
                <w:color w:val="000000" w:themeColor="text1"/>
                <w:sz w:val="24"/>
                <w:szCs w:val="24"/>
                <w:lang w:val="en-GB"/>
              </w:rPr>
              <w:t xml:space="preserve"> injury.</w:t>
            </w:r>
          </w:p>
        </w:tc>
        <w:tc>
          <w:tcPr>
            <w:tcW w:w="8846" w:type="dxa"/>
            <w:tcBorders>
              <w:top w:val="dashed" w:sz="4" w:space="0" w:color="auto"/>
              <w:bottom w:val="dashed" w:sz="4" w:space="0" w:color="auto"/>
            </w:tcBorders>
          </w:tcPr>
          <w:p w14:paraId="7E944E87" w14:textId="43E23868" w:rsidR="00FF582C" w:rsidRPr="00315420" w:rsidRDefault="00FF582C" w:rsidP="0094364C">
            <w:pPr>
              <w:spacing w:line="360" w:lineRule="auto"/>
              <w:jc w:val="both"/>
              <w:rPr>
                <w:rFonts w:ascii="Times New Roman" w:eastAsia="Times New Roman" w:hAnsi="Times New Roman" w:cs="Times New Roman"/>
                <w:color w:val="000000" w:themeColor="text1"/>
                <w:sz w:val="24"/>
                <w:szCs w:val="24"/>
                <w:lang w:val="en-GB"/>
              </w:rPr>
            </w:pPr>
            <w:r w:rsidRPr="00315420">
              <w:rPr>
                <w:rFonts w:ascii="Times New Roman" w:eastAsia="Times New Roman" w:hAnsi="Times New Roman" w:cs="Times New Roman"/>
                <w:color w:val="000000" w:themeColor="text1"/>
                <w:sz w:val="24"/>
                <w:szCs w:val="24"/>
                <w:lang w:val="en-GB"/>
              </w:rPr>
              <w:t>Studies that aimed to investigate football-related injuries should present a definition of an injury informing what was considered as an injury in the study. Studies that present a definition of time-loss injury received a star for this criterion.</w:t>
            </w:r>
          </w:p>
        </w:tc>
      </w:tr>
      <w:tr w:rsidR="00FF582C" w:rsidRPr="00223F0D" w14:paraId="74CB4D48" w14:textId="77777777" w:rsidTr="0094364C">
        <w:tc>
          <w:tcPr>
            <w:tcW w:w="5382" w:type="dxa"/>
            <w:tcBorders>
              <w:top w:val="dashed" w:sz="4" w:space="0" w:color="auto"/>
              <w:bottom w:val="dashed" w:sz="4" w:space="0" w:color="auto"/>
            </w:tcBorders>
          </w:tcPr>
          <w:p w14:paraId="70BB1193" w14:textId="1DD5CD0E" w:rsidR="00FF582C" w:rsidRPr="00FF582C" w:rsidRDefault="00FF582C" w:rsidP="0094364C">
            <w:pPr>
              <w:pStyle w:val="Prrafodelista"/>
              <w:numPr>
                <w:ilvl w:val="0"/>
                <w:numId w:val="2"/>
              </w:numPr>
              <w:spacing w:line="360" w:lineRule="auto"/>
              <w:contextualSpacing w:val="0"/>
              <w:jc w:val="both"/>
              <w:rPr>
                <w:rFonts w:ascii="Times New Roman" w:eastAsia="Times New Roman" w:hAnsi="Times New Roman" w:cs="Times New Roman"/>
                <w:color w:val="000000" w:themeColor="text1"/>
                <w:sz w:val="24"/>
                <w:szCs w:val="24"/>
                <w:lang w:val="en-GB"/>
              </w:rPr>
            </w:pPr>
            <w:r w:rsidRPr="00FF582C">
              <w:rPr>
                <w:rFonts w:ascii="Times New Roman" w:eastAsia="Times New Roman" w:hAnsi="Times New Roman" w:cs="Times New Roman"/>
                <w:color w:val="000000" w:themeColor="text1"/>
                <w:sz w:val="24"/>
                <w:szCs w:val="24"/>
                <w:lang w:val="en-GB"/>
              </w:rPr>
              <w:t>Representativeness of the exposed cohort.</w:t>
            </w:r>
          </w:p>
        </w:tc>
        <w:tc>
          <w:tcPr>
            <w:tcW w:w="8846" w:type="dxa"/>
            <w:tcBorders>
              <w:top w:val="dashed" w:sz="4" w:space="0" w:color="auto"/>
              <w:bottom w:val="dashed" w:sz="4" w:space="0" w:color="auto"/>
            </w:tcBorders>
          </w:tcPr>
          <w:p w14:paraId="539E23AC" w14:textId="0DB63D0E" w:rsidR="00FF582C" w:rsidRPr="00315420" w:rsidRDefault="00FF582C" w:rsidP="0094364C">
            <w:pPr>
              <w:spacing w:line="360" w:lineRule="auto"/>
              <w:jc w:val="both"/>
              <w:rPr>
                <w:rFonts w:ascii="Times New Roman" w:eastAsia="Times New Roman" w:hAnsi="Times New Roman" w:cs="Times New Roman"/>
                <w:color w:val="000000" w:themeColor="text1"/>
                <w:sz w:val="24"/>
                <w:szCs w:val="24"/>
                <w:lang w:val="en-GB"/>
              </w:rPr>
            </w:pPr>
            <w:r w:rsidRPr="00315420">
              <w:rPr>
                <w:rFonts w:ascii="Times New Roman" w:eastAsia="Times New Roman" w:hAnsi="Times New Roman" w:cs="Times New Roman"/>
                <w:color w:val="000000" w:themeColor="text1"/>
                <w:sz w:val="24"/>
                <w:szCs w:val="24"/>
                <w:lang w:val="en-GB"/>
              </w:rPr>
              <w:t>(a) Truly representative of the average football players in the community*; (b) somewhat representative of the average football players in the community*; (c) selected group of users; (d) no description of the derivation of the cohort.</w:t>
            </w:r>
          </w:p>
        </w:tc>
      </w:tr>
      <w:tr w:rsidR="00315420" w:rsidRPr="00223F0D" w14:paraId="6E5B8353" w14:textId="77777777" w:rsidTr="0094364C">
        <w:tc>
          <w:tcPr>
            <w:tcW w:w="5382" w:type="dxa"/>
            <w:tcBorders>
              <w:top w:val="dashed" w:sz="4" w:space="0" w:color="auto"/>
              <w:bottom w:val="dashed" w:sz="4" w:space="0" w:color="auto"/>
            </w:tcBorders>
            <w:vAlign w:val="center"/>
          </w:tcPr>
          <w:p w14:paraId="045446EB" w14:textId="51264743" w:rsidR="00315420" w:rsidRPr="00315420" w:rsidRDefault="00315420" w:rsidP="0094364C">
            <w:pPr>
              <w:pStyle w:val="Prrafodelista"/>
              <w:numPr>
                <w:ilvl w:val="0"/>
                <w:numId w:val="2"/>
              </w:numPr>
              <w:spacing w:line="360" w:lineRule="auto"/>
              <w:contextualSpacing w:val="0"/>
              <w:jc w:val="both"/>
              <w:rPr>
                <w:rFonts w:ascii="Times New Roman" w:eastAsia="Times New Roman" w:hAnsi="Times New Roman" w:cs="Times New Roman"/>
                <w:color w:val="000000" w:themeColor="text1"/>
                <w:sz w:val="24"/>
                <w:szCs w:val="24"/>
                <w:lang w:val="en-GB"/>
              </w:rPr>
            </w:pPr>
            <w:r w:rsidRPr="00315420">
              <w:rPr>
                <w:rFonts w:ascii="Times New Roman" w:eastAsia="Times New Roman" w:hAnsi="Times New Roman" w:cs="Times New Roman"/>
                <w:color w:val="000000" w:themeColor="text1"/>
                <w:sz w:val="24"/>
                <w:szCs w:val="24"/>
                <w:lang w:val="en-GB"/>
              </w:rPr>
              <w:t>Ascertainment of exposure.</w:t>
            </w:r>
          </w:p>
        </w:tc>
        <w:tc>
          <w:tcPr>
            <w:tcW w:w="8846" w:type="dxa"/>
            <w:tcBorders>
              <w:top w:val="dashed" w:sz="4" w:space="0" w:color="auto"/>
              <w:bottom w:val="dashed" w:sz="4" w:space="0" w:color="auto"/>
            </w:tcBorders>
          </w:tcPr>
          <w:p w14:paraId="30314CC9" w14:textId="74029016" w:rsidR="00315420" w:rsidRPr="00315420" w:rsidRDefault="00315420" w:rsidP="0094364C">
            <w:pPr>
              <w:spacing w:line="360" w:lineRule="auto"/>
              <w:jc w:val="both"/>
              <w:rPr>
                <w:rFonts w:ascii="Times New Roman" w:eastAsia="Times New Roman" w:hAnsi="Times New Roman" w:cs="Times New Roman"/>
                <w:color w:val="000000" w:themeColor="text1"/>
                <w:sz w:val="24"/>
                <w:szCs w:val="24"/>
                <w:lang w:val="en-GB"/>
              </w:rPr>
            </w:pPr>
            <w:r w:rsidRPr="00315420">
              <w:rPr>
                <w:rFonts w:ascii="Times New Roman" w:eastAsia="Times New Roman" w:hAnsi="Times New Roman" w:cs="Times New Roman"/>
                <w:color w:val="000000" w:themeColor="text1"/>
                <w:sz w:val="24"/>
                <w:szCs w:val="24"/>
                <w:lang w:val="en-GB"/>
              </w:rPr>
              <w:t>(a) Secure record*; (b) structured interview*; (c) written self-report; (d) no description</w:t>
            </w:r>
          </w:p>
        </w:tc>
      </w:tr>
      <w:tr w:rsidR="00315420" w:rsidRPr="00223F0D" w14:paraId="60086C0E" w14:textId="77777777" w:rsidTr="0094364C">
        <w:tc>
          <w:tcPr>
            <w:tcW w:w="5382" w:type="dxa"/>
            <w:tcBorders>
              <w:top w:val="dashed" w:sz="4" w:space="0" w:color="auto"/>
              <w:bottom w:val="dashed" w:sz="4" w:space="0" w:color="auto"/>
            </w:tcBorders>
            <w:vAlign w:val="center"/>
          </w:tcPr>
          <w:p w14:paraId="1FB5094F" w14:textId="1EE6526F" w:rsidR="00315420" w:rsidRPr="00B3311C" w:rsidRDefault="00315420" w:rsidP="0094364C">
            <w:pPr>
              <w:pStyle w:val="Prrafodelista"/>
              <w:numPr>
                <w:ilvl w:val="0"/>
                <w:numId w:val="2"/>
              </w:numPr>
              <w:spacing w:line="360" w:lineRule="auto"/>
              <w:contextualSpacing w:val="0"/>
              <w:jc w:val="both"/>
              <w:rPr>
                <w:rFonts w:ascii="Times New Roman" w:eastAsia="Times New Roman" w:hAnsi="Times New Roman" w:cs="Times New Roman"/>
                <w:color w:val="000000" w:themeColor="text1"/>
                <w:sz w:val="24"/>
                <w:szCs w:val="24"/>
                <w:lang w:val="en-GB"/>
              </w:rPr>
            </w:pPr>
            <w:r w:rsidRPr="00B3311C">
              <w:rPr>
                <w:rFonts w:ascii="Times New Roman" w:eastAsia="Times New Roman" w:hAnsi="Times New Roman" w:cs="Times New Roman"/>
                <w:color w:val="000000" w:themeColor="text1"/>
                <w:sz w:val="24"/>
                <w:szCs w:val="24"/>
                <w:lang w:val="en-GB"/>
              </w:rPr>
              <w:lastRenderedPageBreak/>
              <w:t>Demonstration that outcome of interest was not present at start of study.</w:t>
            </w:r>
          </w:p>
        </w:tc>
        <w:tc>
          <w:tcPr>
            <w:tcW w:w="8846" w:type="dxa"/>
            <w:tcBorders>
              <w:top w:val="dashed" w:sz="4" w:space="0" w:color="auto"/>
              <w:bottom w:val="dashed" w:sz="4" w:space="0" w:color="auto"/>
            </w:tcBorders>
          </w:tcPr>
          <w:p w14:paraId="7F32EF04" w14:textId="491DC0CD" w:rsidR="00315420" w:rsidRPr="00B3311C" w:rsidRDefault="00315420" w:rsidP="0094364C">
            <w:pPr>
              <w:spacing w:line="360" w:lineRule="auto"/>
              <w:jc w:val="both"/>
              <w:rPr>
                <w:rFonts w:ascii="Times New Roman" w:eastAsia="Times New Roman" w:hAnsi="Times New Roman" w:cs="Times New Roman"/>
                <w:color w:val="000000" w:themeColor="text1"/>
                <w:sz w:val="24"/>
                <w:szCs w:val="24"/>
                <w:lang w:val="en-GB"/>
              </w:rPr>
            </w:pPr>
            <w:r w:rsidRPr="00B3311C">
              <w:rPr>
                <w:rFonts w:ascii="Times New Roman" w:eastAsia="Times New Roman" w:hAnsi="Times New Roman" w:cs="Times New Roman"/>
                <w:color w:val="000000" w:themeColor="text1"/>
                <w:sz w:val="24"/>
                <w:szCs w:val="24"/>
                <w:lang w:val="en-GB"/>
              </w:rPr>
              <w:t>(a) Yes*; (b) no. Studies that described that all football players included were injury-free at baseline received a star for this criterion</w:t>
            </w:r>
            <w:r w:rsidR="00B3311C">
              <w:rPr>
                <w:rFonts w:ascii="Times New Roman" w:eastAsia="Times New Roman" w:hAnsi="Times New Roman" w:cs="Times New Roman"/>
                <w:color w:val="000000" w:themeColor="text1"/>
                <w:sz w:val="24"/>
                <w:szCs w:val="24"/>
                <w:lang w:val="en-GB"/>
              </w:rPr>
              <w:t>.</w:t>
            </w:r>
          </w:p>
        </w:tc>
      </w:tr>
      <w:tr w:rsidR="00B3311C" w:rsidRPr="00223F0D" w14:paraId="4CFD0E55" w14:textId="77777777" w:rsidTr="0094364C">
        <w:tc>
          <w:tcPr>
            <w:tcW w:w="5382" w:type="dxa"/>
            <w:tcBorders>
              <w:top w:val="dashed" w:sz="4" w:space="0" w:color="auto"/>
              <w:bottom w:val="dashed" w:sz="4" w:space="0" w:color="auto"/>
            </w:tcBorders>
            <w:vAlign w:val="center"/>
          </w:tcPr>
          <w:p w14:paraId="185098DE" w14:textId="343E307C" w:rsidR="00B3311C" w:rsidRPr="00B3311C" w:rsidRDefault="00B3311C" w:rsidP="0094364C">
            <w:pPr>
              <w:pStyle w:val="Prrafodelista"/>
              <w:numPr>
                <w:ilvl w:val="0"/>
                <w:numId w:val="2"/>
              </w:numPr>
              <w:spacing w:line="360" w:lineRule="auto"/>
              <w:contextualSpacing w:val="0"/>
              <w:jc w:val="both"/>
              <w:rPr>
                <w:rFonts w:ascii="Times New Roman" w:eastAsia="Times New Roman" w:hAnsi="Times New Roman" w:cs="Times New Roman"/>
                <w:color w:val="000000" w:themeColor="text1"/>
                <w:sz w:val="24"/>
                <w:szCs w:val="24"/>
                <w:lang w:val="en-GB"/>
              </w:rPr>
            </w:pPr>
            <w:r w:rsidRPr="00B3311C">
              <w:rPr>
                <w:rFonts w:ascii="Times New Roman" w:eastAsia="Times New Roman" w:hAnsi="Times New Roman" w:cs="Times New Roman"/>
                <w:color w:val="000000" w:themeColor="text1"/>
                <w:sz w:val="24"/>
                <w:szCs w:val="24"/>
                <w:lang w:val="en-GB"/>
              </w:rPr>
              <w:t>Assessment of outcome</w:t>
            </w:r>
            <w:r>
              <w:rPr>
                <w:rFonts w:ascii="Times New Roman" w:eastAsia="Times New Roman" w:hAnsi="Times New Roman" w:cs="Times New Roman"/>
                <w:color w:val="000000" w:themeColor="text1"/>
                <w:sz w:val="24"/>
                <w:szCs w:val="24"/>
                <w:lang w:val="en-GB"/>
              </w:rPr>
              <w:t>.</w:t>
            </w:r>
          </w:p>
        </w:tc>
        <w:tc>
          <w:tcPr>
            <w:tcW w:w="8846" w:type="dxa"/>
            <w:tcBorders>
              <w:top w:val="dashed" w:sz="4" w:space="0" w:color="auto"/>
              <w:bottom w:val="dashed" w:sz="4" w:space="0" w:color="auto"/>
            </w:tcBorders>
          </w:tcPr>
          <w:p w14:paraId="67052F86" w14:textId="5CA7B95B" w:rsidR="00B3311C" w:rsidRPr="00B3311C" w:rsidRDefault="00B3311C" w:rsidP="0094364C">
            <w:pPr>
              <w:spacing w:line="360" w:lineRule="auto"/>
              <w:jc w:val="both"/>
              <w:rPr>
                <w:rFonts w:ascii="Times New Roman" w:eastAsia="Times New Roman" w:hAnsi="Times New Roman" w:cs="Times New Roman"/>
                <w:color w:val="000000" w:themeColor="text1"/>
                <w:sz w:val="24"/>
                <w:szCs w:val="24"/>
                <w:lang w:val="en-GB"/>
              </w:rPr>
            </w:pPr>
            <w:r w:rsidRPr="00B3311C">
              <w:rPr>
                <w:rFonts w:ascii="Times New Roman" w:eastAsia="Times New Roman" w:hAnsi="Times New Roman" w:cs="Times New Roman"/>
                <w:color w:val="000000" w:themeColor="text1"/>
                <w:sz w:val="24"/>
                <w:szCs w:val="24"/>
                <w:lang w:val="en-GB"/>
              </w:rPr>
              <w:t>(a) Independent blind assessment*; (b) record linkage*; (c) self-report; (d) no description</w:t>
            </w:r>
            <w:r>
              <w:rPr>
                <w:rFonts w:ascii="Times New Roman" w:eastAsia="Times New Roman" w:hAnsi="Times New Roman" w:cs="Times New Roman"/>
                <w:color w:val="000000" w:themeColor="text1"/>
                <w:sz w:val="24"/>
                <w:szCs w:val="24"/>
                <w:lang w:val="en-GB"/>
              </w:rPr>
              <w:t>.</w:t>
            </w:r>
          </w:p>
        </w:tc>
      </w:tr>
      <w:tr w:rsidR="00B3311C" w:rsidRPr="00223F0D" w14:paraId="1A6B9A02" w14:textId="77777777" w:rsidTr="0094364C">
        <w:tc>
          <w:tcPr>
            <w:tcW w:w="5382" w:type="dxa"/>
            <w:tcBorders>
              <w:top w:val="dashed" w:sz="4" w:space="0" w:color="auto"/>
              <w:bottom w:val="dashed" w:sz="4" w:space="0" w:color="auto"/>
            </w:tcBorders>
            <w:vAlign w:val="center"/>
          </w:tcPr>
          <w:p w14:paraId="30E6BDDF" w14:textId="0779AF11" w:rsidR="00B3311C" w:rsidRPr="00B3311C" w:rsidRDefault="00B3311C" w:rsidP="0094364C">
            <w:pPr>
              <w:pStyle w:val="Prrafodelista"/>
              <w:numPr>
                <w:ilvl w:val="0"/>
                <w:numId w:val="2"/>
              </w:numPr>
              <w:spacing w:line="360" w:lineRule="auto"/>
              <w:contextualSpacing w:val="0"/>
              <w:jc w:val="both"/>
              <w:rPr>
                <w:rFonts w:ascii="Times New Roman" w:eastAsia="Times New Roman" w:hAnsi="Times New Roman" w:cs="Times New Roman"/>
                <w:color w:val="000000" w:themeColor="text1"/>
                <w:sz w:val="24"/>
                <w:szCs w:val="24"/>
                <w:lang w:val="en-GB"/>
              </w:rPr>
            </w:pPr>
            <w:r w:rsidRPr="00B3311C">
              <w:rPr>
                <w:rFonts w:ascii="Times New Roman" w:eastAsia="Times New Roman" w:hAnsi="Times New Roman" w:cs="Times New Roman"/>
                <w:color w:val="000000" w:themeColor="text1"/>
                <w:sz w:val="24"/>
                <w:szCs w:val="24"/>
                <w:lang w:val="en-GB"/>
              </w:rPr>
              <w:t>Was follow-up long enough for outcomes to occur risk factors.</w:t>
            </w:r>
          </w:p>
        </w:tc>
        <w:tc>
          <w:tcPr>
            <w:tcW w:w="8846" w:type="dxa"/>
            <w:tcBorders>
              <w:top w:val="dashed" w:sz="4" w:space="0" w:color="auto"/>
              <w:bottom w:val="dashed" w:sz="4" w:space="0" w:color="auto"/>
            </w:tcBorders>
          </w:tcPr>
          <w:p w14:paraId="1F0EEB75" w14:textId="39262582" w:rsidR="00B3311C" w:rsidRPr="00B3311C" w:rsidRDefault="00B3311C" w:rsidP="0094364C">
            <w:pPr>
              <w:spacing w:line="360" w:lineRule="auto"/>
              <w:jc w:val="both"/>
              <w:rPr>
                <w:rFonts w:ascii="Times New Roman" w:eastAsia="Times New Roman" w:hAnsi="Times New Roman" w:cs="Times New Roman"/>
                <w:color w:val="000000" w:themeColor="text1"/>
                <w:sz w:val="24"/>
                <w:szCs w:val="24"/>
                <w:lang w:val="en-GB"/>
              </w:rPr>
            </w:pPr>
            <w:r w:rsidRPr="00B3311C">
              <w:rPr>
                <w:rFonts w:ascii="Times New Roman" w:eastAsia="Times New Roman" w:hAnsi="Times New Roman" w:cs="Times New Roman"/>
                <w:color w:val="000000" w:themeColor="text1"/>
                <w:sz w:val="24"/>
                <w:szCs w:val="24"/>
                <w:lang w:val="en-GB"/>
              </w:rPr>
              <w:t>(a) Yes*; (b) no. Studies that carried out a follow-up period of at least 12 weeks received a star for this criterion.</w:t>
            </w:r>
          </w:p>
        </w:tc>
      </w:tr>
      <w:tr w:rsidR="00B3311C" w:rsidRPr="00223F0D" w14:paraId="3D363D77" w14:textId="77777777" w:rsidTr="0094364C">
        <w:tc>
          <w:tcPr>
            <w:tcW w:w="5382" w:type="dxa"/>
            <w:tcBorders>
              <w:top w:val="dashed" w:sz="4" w:space="0" w:color="auto"/>
              <w:bottom w:val="dashed" w:sz="4" w:space="0" w:color="auto"/>
            </w:tcBorders>
            <w:vAlign w:val="center"/>
          </w:tcPr>
          <w:p w14:paraId="415C47DE" w14:textId="4C0C9C9C" w:rsidR="00B3311C" w:rsidRPr="00B3311C" w:rsidRDefault="00B3311C" w:rsidP="0094364C">
            <w:pPr>
              <w:pStyle w:val="Prrafodelista"/>
              <w:numPr>
                <w:ilvl w:val="0"/>
                <w:numId w:val="2"/>
              </w:numPr>
              <w:spacing w:line="360" w:lineRule="auto"/>
              <w:contextualSpacing w:val="0"/>
              <w:jc w:val="both"/>
              <w:rPr>
                <w:rFonts w:ascii="Times New Roman" w:eastAsia="Times New Roman" w:hAnsi="Times New Roman" w:cs="Times New Roman"/>
                <w:color w:val="000000" w:themeColor="text1"/>
                <w:sz w:val="24"/>
                <w:szCs w:val="24"/>
                <w:lang w:val="en-GB"/>
              </w:rPr>
            </w:pPr>
            <w:r w:rsidRPr="00B3311C">
              <w:rPr>
                <w:rFonts w:ascii="Times New Roman" w:eastAsia="Times New Roman" w:hAnsi="Times New Roman" w:cs="Times New Roman"/>
                <w:color w:val="000000" w:themeColor="text1"/>
                <w:sz w:val="24"/>
                <w:szCs w:val="24"/>
                <w:lang w:val="en-GB"/>
              </w:rPr>
              <w:t>Adequacy of follow-up of cohorts</w:t>
            </w:r>
          </w:p>
        </w:tc>
        <w:tc>
          <w:tcPr>
            <w:tcW w:w="8846" w:type="dxa"/>
            <w:tcBorders>
              <w:top w:val="dashed" w:sz="4" w:space="0" w:color="auto"/>
              <w:bottom w:val="dashed" w:sz="4" w:space="0" w:color="auto"/>
            </w:tcBorders>
          </w:tcPr>
          <w:p w14:paraId="0C3DE2E6" w14:textId="36F0CF36" w:rsidR="00B3311C" w:rsidRPr="00B3311C" w:rsidRDefault="00B3311C" w:rsidP="0094364C">
            <w:pPr>
              <w:spacing w:line="360" w:lineRule="auto"/>
              <w:jc w:val="both"/>
              <w:rPr>
                <w:rFonts w:ascii="Times New Roman" w:eastAsia="Times New Roman" w:hAnsi="Times New Roman" w:cs="Times New Roman"/>
                <w:color w:val="000000" w:themeColor="text1"/>
                <w:sz w:val="24"/>
                <w:szCs w:val="24"/>
                <w:lang w:val="en-GB"/>
              </w:rPr>
            </w:pPr>
            <w:r w:rsidRPr="00B3311C">
              <w:rPr>
                <w:rFonts w:ascii="Times New Roman" w:eastAsia="Times New Roman" w:hAnsi="Times New Roman" w:cs="Times New Roman"/>
                <w:color w:val="000000" w:themeColor="text1"/>
                <w:sz w:val="24"/>
                <w:szCs w:val="24"/>
                <w:lang w:val="en-GB"/>
              </w:rPr>
              <w:t>(a) Complete follow-up of all subjects accounted for*; (b) subjects lost to follow-up unlikely to introduce bias (up to 20 % loss) or description provided of those lost*; (c) follow-up rate &lt;80% and no description of those lost; (d) no statement. A loss to follow-up greater than 20 % may increase the risk of bias in prospective studies (</w:t>
            </w:r>
            <w:proofErr w:type="spellStart"/>
            <w:r w:rsidRPr="00B3311C">
              <w:rPr>
                <w:rFonts w:ascii="Times New Roman" w:eastAsia="Times New Roman" w:hAnsi="Times New Roman" w:cs="Times New Roman"/>
                <w:color w:val="000000" w:themeColor="text1"/>
                <w:sz w:val="24"/>
                <w:szCs w:val="24"/>
                <w:lang w:val="en-GB"/>
              </w:rPr>
              <w:t>Fewtrell</w:t>
            </w:r>
            <w:proofErr w:type="spellEnd"/>
            <w:r w:rsidRPr="00B3311C">
              <w:rPr>
                <w:rFonts w:ascii="Times New Roman" w:eastAsia="Times New Roman" w:hAnsi="Times New Roman" w:cs="Times New Roman"/>
                <w:color w:val="000000" w:themeColor="text1"/>
                <w:sz w:val="24"/>
                <w:szCs w:val="24"/>
                <w:lang w:val="en-GB"/>
              </w:rPr>
              <w:t xml:space="preserve"> et al., 2008).</w:t>
            </w:r>
          </w:p>
        </w:tc>
      </w:tr>
      <w:tr w:rsidR="00B3311C" w:rsidRPr="00223F0D" w14:paraId="0D6D639D" w14:textId="77777777" w:rsidTr="0094364C">
        <w:tc>
          <w:tcPr>
            <w:tcW w:w="14228" w:type="dxa"/>
            <w:gridSpan w:val="2"/>
            <w:tcBorders>
              <w:top w:val="single" w:sz="4" w:space="0" w:color="auto"/>
            </w:tcBorders>
            <w:vAlign w:val="center"/>
          </w:tcPr>
          <w:p w14:paraId="12066173" w14:textId="08BD1DC6" w:rsidR="00B3311C" w:rsidRPr="0094364C" w:rsidRDefault="0094364C" w:rsidP="0094364C">
            <w:pPr>
              <w:autoSpaceDE w:val="0"/>
              <w:autoSpaceDN w:val="0"/>
              <w:adjustRightInd w:val="0"/>
              <w:spacing w:line="360" w:lineRule="auto"/>
              <w:rPr>
                <w:rFonts w:ascii="Times New Roman" w:hAnsi="Times New Roman" w:cs="Times New Roman"/>
                <w:sz w:val="24"/>
                <w:szCs w:val="24"/>
                <w:lang w:val="en-US"/>
              </w:rPr>
            </w:pPr>
            <w:r w:rsidRPr="0094364C">
              <w:rPr>
                <w:rFonts w:ascii="Times New Roman" w:hAnsi="Times New Roman" w:cs="Times New Roman"/>
                <w:sz w:val="24"/>
                <w:szCs w:val="24"/>
                <w:vertAlign w:val="superscript"/>
                <w:lang w:val="en-GB"/>
              </w:rPr>
              <w:t>T</w:t>
            </w:r>
            <w:r w:rsidRPr="0094364C">
              <w:rPr>
                <w:rFonts w:ascii="Times New Roman" w:hAnsi="Times New Roman" w:cs="Times New Roman"/>
                <w:sz w:val="24"/>
                <w:szCs w:val="24"/>
                <w:lang w:val="en-GB"/>
              </w:rPr>
              <w:t xml:space="preserve">: </w:t>
            </w:r>
            <w:r w:rsidR="00B3311C" w:rsidRPr="0094364C">
              <w:rPr>
                <w:rFonts w:ascii="Times New Roman" w:hAnsi="Times New Roman" w:cs="Times New Roman"/>
                <w:sz w:val="24"/>
                <w:szCs w:val="24"/>
                <w:lang w:val="en-US"/>
              </w:rPr>
              <w:t>The articles could be awarded a ma</w:t>
            </w:r>
            <w:r w:rsidR="00553DA9">
              <w:rPr>
                <w:rFonts w:ascii="Times New Roman" w:hAnsi="Times New Roman" w:cs="Times New Roman"/>
                <w:sz w:val="24"/>
                <w:szCs w:val="24"/>
                <w:lang w:val="en-US"/>
              </w:rPr>
              <w:t>ximum of one star for each item.</w:t>
            </w:r>
            <w:r w:rsidR="00B3311C" w:rsidRPr="0094364C">
              <w:rPr>
                <w:rFonts w:ascii="Times New Roman" w:hAnsi="Times New Roman" w:cs="Times New Roman"/>
                <w:sz w:val="24"/>
                <w:szCs w:val="24"/>
                <w:lang w:val="en-US"/>
              </w:rPr>
              <w:t xml:space="preserve"> </w:t>
            </w:r>
            <w:r w:rsidR="00553DA9">
              <w:rPr>
                <w:rFonts w:ascii="Times New Roman" w:hAnsi="Times New Roman" w:cs="Times New Roman"/>
                <w:sz w:val="24"/>
                <w:szCs w:val="24"/>
                <w:lang w:val="en-US"/>
              </w:rPr>
              <w:t>A total of 8</w:t>
            </w:r>
            <w:r w:rsidR="00B3311C" w:rsidRPr="0094364C">
              <w:rPr>
                <w:rFonts w:ascii="Times New Roman" w:hAnsi="Times New Roman" w:cs="Times New Roman"/>
                <w:sz w:val="24"/>
                <w:szCs w:val="24"/>
                <w:lang w:val="en-US"/>
              </w:rPr>
              <w:t xml:space="preserve"> stars could be given for the articles</w:t>
            </w:r>
            <w:r>
              <w:rPr>
                <w:rFonts w:ascii="Times New Roman" w:hAnsi="Times New Roman" w:cs="Times New Roman"/>
                <w:sz w:val="24"/>
                <w:szCs w:val="24"/>
                <w:lang w:val="en-US"/>
              </w:rPr>
              <w:t>.</w:t>
            </w:r>
          </w:p>
          <w:p w14:paraId="17FAD941" w14:textId="240C5465" w:rsidR="00B3311C" w:rsidRPr="00B3311C" w:rsidRDefault="00B3311C" w:rsidP="0094364C">
            <w:pPr>
              <w:spacing w:line="360" w:lineRule="auto"/>
              <w:jc w:val="both"/>
              <w:rPr>
                <w:rFonts w:ascii="Times New Roman" w:eastAsia="Times New Roman" w:hAnsi="Times New Roman" w:cs="Times New Roman"/>
                <w:color w:val="000000" w:themeColor="text1"/>
                <w:sz w:val="24"/>
                <w:szCs w:val="24"/>
                <w:lang w:val="en-GB"/>
              </w:rPr>
            </w:pPr>
            <w:r w:rsidRPr="0094364C">
              <w:rPr>
                <w:rFonts w:ascii="Times New Roman" w:hAnsi="Times New Roman" w:cs="Times New Roman"/>
                <w:sz w:val="24"/>
                <w:szCs w:val="24"/>
                <w:lang w:val="en-US"/>
              </w:rPr>
              <w:t>* Articles with this alternative received a star for this criterion.</w:t>
            </w:r>
          </w:p>
        </w:tc>
      </w:tr>
    </w:tbl>
    <w:p w14:paraId="05F6976D" w14:textId="77777777" w:rsidR="00691CC1" w:rsidRPr="006952F1" w:rsidRDefault="00691CC1" w:rsidP="00691CC1">
      <w:pPr>
        <w:rPr>
          <w:rFonts w:ascii="Helvetica" w:hAnsi="Helvetica" w:cs="Helvetica"/>
          <w:color w:val="333333"/>
          <w:spacing w:val="4"/>
          <w:sz w:val="21"/>
          <w:szCs w:val="21"/>
          <w:shd w:val="clear" w:color="auto" w:fill="FCFCFC"/>
          <w:lang w:val="en-US"/>
        </w:rPr>
      </w:pPr>
    </w:p>
    <w:p w14:paraId="4B472FE2" w14:textId="77777777" w:rsidR="006952F1" w:rsidRPr="006952F1" w:rsidRDefault="006952F1" w:rsidP="00691CC1">
      <w:pPr>
        <w:rPr>
          <w:rFonts w:ascii="Helvetica" w:hAnsi="Helvetica" w:cs="Helvetica"/>
          <w:color w:val="333333"/>
          <w:spacing w:val="4"/>
          <w:sz w:val="21"/>
          <w:szCs w:val="21"/>
          <w:shd w:val="clear" w:color="auto" w:fill="FCFCFC"/>
          <w:lang w:val="en-US"/>
        </w:rPr>
      </w:pPr>
    </w:p>
    <w:p w14:paraId="0504DEBA" w14:textId="77777777" w:rsidR="006952F1" w:rsidRPr="006952F1" w:rsidRDefault="006952F1" w:rsidP="00691CC1">
      <w:pPr>
        <w:rPr>
          <w:rFonts w:ascii="Helvetica" w:hAnsi="Helvetica" w:cs="Helvetica"/>
          <w:color w:val="333333"/>
          <w:spacing w:val="4"/>
          <w:sz w:val="21"/>
          <w:szCs w:val="21"/>
          <w:shd w:val="clear" w:color="auto" w:fill="FCFCFC"/>
          <w:lang w:val="en-US"/>
        </w:rPr>
      </w:pPr>
    </w:p>
    <w:p w14:paraId="26E12F15" w14:textId="77777777" w:rsidR="006952F1" w:rsidRPr="006952F1" w:rsidRDefault="006952F1" w:rsidP="00691CC1">
      <w:pPr>
        <w:rPr>
          <w:rFonts w:ascii="Helvetica" w:hAnsi="Helvetica" w:cs="Helvetica"/>
          <w:color w:val="333333"/>
          <w:spacing w:val="4"/>
          <w:sz w:val="21"/>
          <w:szCs w:val="21"/>
          <w:shd w:val="clear" w:color="auto" w:fill="FCFCFC"/>
          <w:lang w:val="en-US"/>
        </w:rPr>
      </w:pPr>
    </w:p>
    <w:p w14:paraId="21A0264C" w14:textId="72B93F18" w:rsidR="00691CC1" w:rsidRPr="00931808" w:rsidRDefault="00691CC1" w:rsidP="00691CC1">
      <w:pPr>
        <w:rPr>
          <w:lang w:val="en-GB"/>
        </w:rPr>
      </w:pPr>
    </w:p>
    <w:sectPr w:rsidR="00691CC1" w:rsidRPr="00931808" w:rsidSect="00553DA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2BF5"/>
    <w:multiLevelType w:val="hybridMultilevel"/>
    <w:tmpl w:val="0BC630C4"/>
    <w:lvl w:ilvl="0" w:tplc="56D47DD4">
      <w:start w:val="1"/>
      <w:numFmt w:val="decimal"/>
      <w:lvlText w:val="%1."/>
      <w:lvlJc w:val="left"/>
      <w:pPr>
        <w:ind w:left="360" w:hanging="360"/>
      </w:pPr>
      <w:rPr>
        <w:rFonts w:ascii="Times New Roman" w:hAnsi="Times New Roman" w:cs="Times New Roman"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9A579FD"/>
    <w:multiLevelType w:val="hybridMultilevel"/>
    <w:tmpl w:val="B5201242"/>
    <w:lvl w:ilvl="0" w:tplc="C8C49F82">
      <w:start w:val="1"/>
      <w:numFmt w:val="decimal"/>
      <w:lvlText w:val="%1."/>
      <w:lvlJc w:val="left"/>
      <w:pPr>
        <w:ind w:left="360" w:hanging="360"/>
      </w:pPr>
      <w:rPr>
        <w:rFonts w:ascii="Times New Roman" w:hAnsi="Times New Roman" w:cs="Times New Roman"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D79"/>
    <w:rsid w:val="001E04C0"/>
    <w:rsid w:val="00223F0D"/>
    <w:rsid w:val="00315420"/>
    <w:rsid w:val="0042567F"/>
    <w:rsid w:val="00511D79"/>
    <w:rsid w:val="00553DA9"/>
    <w:rsid w:val="0067324C"/>
    <w:rsid w:val="00691CC1"/>
    <w:rsid w:val="006952F1"/>
    <w:rsid w:val="00931808"/>
    <w:rsid w:val="0094364C"/>
    <w:rsid w:val="00B3311C"/>
    <w:rsid w:val="00D85AAD"/>
    <w:rsid w:val="00E02B73"/>
    <w:rsid w:val="00EF16B6"/>
    <w:rsid w:val="00F45A8A"/>
    <w:rsid w:val="00F8234A"/>
    <w:rsid w:val="00FF58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D30F"/>
  <w15:chartTrackingRefBased/>
  <w15:docId w15:val="{4F71E70D-BAFC-42DD-9E43-864281A9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C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1CC1"/>
    <w:rPr>
      <w:color w:val="0563C1" w:themeColor="hyperlink"/>
      <w:u w:val="single"/>
    </w:rPr>
  </w:style>
  <w:style w:type="character" w:customStyle="1" w:styleId="Mencinsinresolver1">
    <w:name w:val="Mención sin resolver1"/>
    <w:basedOn w:val="Fuentedeprrafopredeter"/>
    <w:uiPriority w:val="99"/>
    <w:semiHidden/>
    <w:unhideWhenUsed/>
    <w:rsid w:val="00691CC1"/>
    <w:rPr>
      <w:color w:val="605E5C"/>
      <w:shd w:val="clear" w:color="auto" w:fill="E1DFDD"/>
    </w:rPr>
  </w:style>
  <w:style w:type="character" w:styleId="Hipervnculovisitado">
    <w:name w:val="FollowedHyperlink"/>
    <w:basedOn w:val="Fuentedeprrafopredeter"/>
    <w:uiPriority w:val="99"/>
    <w:semiHidden/>
    <w:unhideWhenUsed/>
    <w:rsid w:val="00F8234A"/>
    <w:rPr>
      <w:color w:val="954F72" w:themeColor="followedHyperlink"/>
      <w:u w:val="single"/>
    </w:rPr>
  </w:style>
  <w:style w:type="paragraph" w:styleId="Textodeglobo">
    <w:name w:val="Balloon Text"/>
    <w:basedOn w:val="Normal"/>
    <w:link w:val="TextodegloboCar"/>
    <w:uiPriority w:val="99"/>
    <w:semiHidden/>
    <w:unhideWhenUsed/>
    <w:rsid w:val="00F823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234A"/>
    <w:rPr>
      <w:rFonts w:ascii="Segoe UI" w:hAnsi="Segoe UI" w:cs="Segoe UI"/>
      <w:sz w:val="18"/>
      <w:szCs w:val="18"/>
    </w:rPr>
  </w:style>
  <w:style w:type="table" w:styleId="Tablaconcuadrcula">
    <w:name w:val="Table Grid"/>
    <w:basedOn w:val="Tablanormal"/>
    <w:uiPriority w:val="39"/>
    <w:rsid w:val="00695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0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445</Words>
  <Characters>2452</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López</dc:creator>
  <cp:keywords/>
  <dc:description/>
  <cp:lastModifiedBy>Alejandro López</cp:lastModifiedBy>
  <cp:revision>9</cp:revision>
  <dcterms:created xsi:type="dcterms:W3CDTF">2018-09-13T09:13:00Z</dcterms:created>
  <dcterms:modified xsi:type="dcterms:W3CDTF">2018-12-08T11:22:00Z</dcterms:modified>
</cp:coreProperties>
</file>