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F" w:rsidRPr="00190F62" w:rsidRDefault="00E17C8F" w:rsidP="00643A57">
      <w:pPr>
        <w:pStyle w:val="Heading1"/>
        <w:spacing w:line="360" w:lineRule="auto"/>
        <w:jc w:val="center"/>
      </w:pPr>
      <w:r w:rsidRPr="00190F62">
        <w:t>Rura</w:t>
      </w:r>
      <w:r>
        <w:t>l Development</w:t>
      </w:r>
      <w:r w:rsidR="00C54798">
        <w:t xml:space="preserve"> Programme</w:t>
      </w:r>
      <w:r w:rsidR="0003286F">
        <w:t>s</w:t>
      </w:r>
      <w:r w:rsidR="00C54798">
        <w:t xml:space="preserve"> </w:t>
      </w:r>
      <w:r w:rsidR="0003286F">
        <w:t xml:space="preserve">and </w:t>
      </w:r>
      <w:r w:rsidR="00B92ECF">
        <w:t>T</w:t>
      </w:r>
      <w:r w:rsidR="00C54798">
        <w:t>ransaction</w:t>
      </w:r>
      <w:r w:rsidR="0003286F">
        <w:t xml:space="preserve"> </w:t>
      </w:r>
      <w:r w:rsidR="00B92ECF">
        <w:t>E</w:t>
      </w:r>
      <w:r w:rsidR="0003286F">
        <w:t>ffects</w:t>
      </w:r>
      <w:r>
        <w:t xml:space="preserve">: </w:t>
      </w:r>
      <w:r w:rsidR="00CA5C9D">
        <w:t>Reflections</w:t>
      </w:r>
      <w:r w:rsidR="00B92ECF">
        <w:t xml:space="preserve"> </w:t>
      </w:r>
      <w:r w:rsidR="00CA5C9D">
        <w:t xml:space="preserve">on </w:t>
      </w:r>
      <w:r>
        <w:t>Malt</w:t>
      </w:r>
      <w:r w:rsidR="00B92ECF">
        <w:t>ese</w:t>
      </w:r>
      <w:r>
        <w:t xml:space="preserve"> and </w:t>
      </w:r>
      <w:r w:rsidR="00B92ECF">
        <w:t>English Experience</w:t>
      </w:r>
    </w:p>
    <w:p w:rsidR="00413E1D" w:rsidRDefault="00462F7D" w:rsidP="008D745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Janet Dwyer and John Powell</w:t>
      </w:r>
      <w:r>
        <w:rPr>
          <w:rStyle w:val="FootnoteReference"/>
          <w:rFonts w:ascii="Times New Roman" w:eastAsia="Times New Roman" w:hAnsi="Times New Roman" w:cs="Times New Roman"/>
          <w:sz w:val="24"/>
          <w:szCs w:val="24"/>
        </w:rPr>
        <w:footnoteReference w:id="2"/>
      </w:r>
    </w:p>
    <w:p w:rsidR="00B92ECF" w:rsidRPr="00462F7D" w:rsidRDefault="00B92ECF" w:rsidP="008D745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[Original submitted February 2015, Revision received July 2015, Accepted October 2015</w:t>
      </w:r>
      <w:r w:rsidR="00DA4ECE">
        <w:rPr>
          <w:rFonts w:ascii="Times New Roman" w:eastAsia="Times New Roman" w:hAnsi="Times New Roman" w:cs="Times New Roman"/>
          <w:sz w:val="24"/>
          <w:szCs w:val="24"/>
        </w:rPr>
        <w:t xml:space="preserve"> subject to revisions. Final version submitted </w:t>
      </w:r>
      <w:r w:rsidR="00552196">
        <w:rPr>
          <w:rFonts w:ascii="Times New Roman" w:eastAsia="Times New Roman" w:hAnsi="Times New Roman" w:cs="Times New Roman"/>
          <w:sz w:val="24"/>
          <w:szCs w:val="24"/>
        </w:rPr>
        <w:t xml:space="preserve">and accepted 25 </w:t>
      </w:r>
      <w:r w:rsidR="00DA4ECE">
        <w:rPr>
          <w:rFonts w:ascii="Times New Roman" w:eastAsia="Times New Roman" w:hAnsi="Times New Roman" w:cs="Times New Roman"/>
          <w:sz w:val="24"/>
          <w:szCs w:val="24"/>
        </w:rPr>
        <w:t>March 2016</w:t>
      </w:r>
      <w:r>
        <w:rPr>
          <w:rFonts w:ascii="Times New Roman" w:eastAsia="Times New Roman" w:hAnsi="Times New Roman" w:cs="Times New Roman"/>
          <w:sz w:val="24"/>
          <w:szCs w:val="24"/>
        </w:rPr>
        <w:t>]</w:t>
      </w:r>
    </w:p>
    <w:p w:rsidR="00D42C3C" w:rsidRPr="00D42C3C" w:rsidRDefault="00D42C3C" w:rsidP="008D745F">
      <w:pPr>
        <w:spacing w:after="100" w:afterAutospacing="1" w:line="360" w:lineRule="auto"/>
        <w:jc w:val="center"/>
        <w:rPr>
          <w:rFonts w:ascii="Times New Roman" w:eastAsia="Times New Roman" w:hAnsi="Times New Roman" w:cs="Times New Roman"/>
          <w:b/>
          <w:sz w:val="24"/>
          <w:szCs w:val="24"/>
          <w:lang w:val="en-GB"/>
        </w:rPr>
      </w:pPr>
      <w:r w:rsidRPr="00D42C3C">
        <w:rPr>
          <w:rFonts w:ascii="Times New Roman" w:eastAsia="Times New Roman" w:hAnsi="Times New Roman" w:cs="Times New Roman"/>
          <w:b/>
          <w:sz w:val="24"/>
          <w:szCs w:val="24"/>
          <w:lang w:val="en-GB"/>
        </w:rPr>
        <w:t>Abstract</w:t>
      </w:r>
    </w:p>
    <w:p w:rsidR="00D42C3C" w:rsidRPr="00D42C3C" w:rsidRDefault="00EE518E" w:rsidP="008D745F">
      <w:pPr>
        <w:tabs>
          <w:tab w:val="left" w:pos="1418"/>
        </w:tabs>
        <w:spacing w:before="100" w:beforeAutospacing="1" w:after="100" w:afterAutospacing="1"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New institutional </w:t>
      </w:r>
      <w:r w:rsidR="00D42C3C" w:rsidRPr="00D42C3C">
        <w:rPr>
          <w:rFonts w:ascii="Times New Roman" w:eastAsia="Times New Roman" w:hAnsi="Times New Roman" w:cs="Times New Roman"/>
          <w:sz w:val="24"/>
          <w:szCs w:val="24"/>
        </w:rPr>
        <w:t>economics</w:t>
      </w:r>
      <w:r w:rsidR="00FC4C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transaction effects</w:t>
      </w:r>
      <w:r w:rsidRPr="00D42C3C">
        <w:rPr>
          <w:rFonts w:ascii="Times New Roman" w:eastAsia="Times New Roman" w:hAnsi="Times New Roman" w:cs="Times New Roman"/>
          <w:sz w:val="24"/>
          <w:szCs w:val="24"/>
        </w:rPr>
        <w:t xml:space="preserve"> </w:t>
      </w:r>
      <w:r w:rsidR="00FC4C44">
        <w:rPr>
          <w:rFonts w:ascii="Times New Roman" w:eastAsia="Times New Roman" w:hAnsi="Times New Roman" w:cs="Times New Roman"/>
          <w:sz w:val="24"/>
          <w:szCs w:val="24"/>
        </w:rPr>
        <w:t>in particular,</w:t>
      </w:r>
      <w:r w:rsidR="00D42C3C" w:rsidRPr="00D42C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D42C3C">
        <w:rPr>
          <w:rFonts w:ascii="Times New Roman" w:eastAsia="Times New Roman" w:hAnsi="Times New Roman" w:cs="Times New Roman"/>
          <w:sz w:val="24"/>
          <w:szCs w:val="24"/>
        </w:rPr>
        <w:t xml:space="preserve"> </w:t>
      </w:r>
      <w:r w:rsidR="00D42C3C" w:rsidRPr="00D42C3C">
        <w:rPr>
          <w:rFonts w:ascii="Times New Roman" w:eastAsia="Times New Roman" w:hAnsi="Times New Roman" w:cs="Times New Roman"/>
          <w:sz w:val="24"/>
          <w:szCs w:val="24"/>
        </w:rPr>
        <w:t xml:space="preserve">highly relevant to public policy performance. </w:t>
      </w:r>
      <w:r w:rsidR="00A66EA9">
        <w:rPr>
          <w:rFonts w:ascii="Times New Roman" w:eastAsia="Times New Roman" w:hAnsi="Times New Roman" w:cs="Times New Roman"/>
          <w:sz w:val="24"/>
          <w:szCs w:val="24"/>
        </w:rPr>
        <w:t xml:space="preserve">The evolution of </w:t>
      </w:r>
      <w:r>
        <w:rPr>
          <w:rFonts w:ascii="Times New Roman" w:eastAsia="Times New Roman" w:hAnsi="Times New Roman" w:cs="Times New Roman"/>
          <w:sz w:val="24"/>
          <w:szCs w:val="24"/>
        </w:rPr>
        <w:t>EU r</w:t>
      </w:r>
      <w:r w:rsidR="00CA5C9D">
        <w:rPr>
          <w:rFonts w:ascii="Times New Roman" w:eastAsia="Times New Roman" w:hAnsi="Times New Roman" w:cs="Times New Roman"/>
          <w:sz w:val="24"/>
          <w:szCs w:val="24"/>
        </w:rPr>
        <w:t xml:space="preserve">ural development </w:t>
      </w:r>
      <w:r w:rsidR="00D42C3C">
        <w:rPr>
          <w:rFonts w:ascii="Times New Roman" w:eastAsia="Times New Roman" w:hAnsi="Times New Roman" w:cs="Times New Roman"/>
          <w:sz w:val="24"/>
          <w:szCs w:val="24"/>
        </w:rPr>
        <w:t>polic</w:t>
      </w:r>
      <w:r w:rsidR="00B92ECF">
        <w:rPr>
          <w:rFonts w:ascii="Times New Roman" w:eastAsia="Times New Roman" w:hAnsi="Times New Roman" w:cs="Times New Roman"/>
          <w:sz w:val="24"/>
          <w:szCs w:val="24"/>
        </w:rPr>
        <w:t>y</w:t>
      </w:r>
      <w:r w:rsidR="00D42C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 generated</w:t>
      </w:r>
      <w:r w:rsidR="00B92ECF">
        <w:rPr>
          <w:rFonts w:ascii="Times New Roman" w:eastAsia="Times New Roman" w:hAnsi="Times New Roman" w:cs="Times New Roman"/>
          <w:sz w:val="24"/>
          <w:szCs w:val="24"/>
        </w:rPr>
        <w:t xml:space="preserve"> both increasing complexity and</w:t>
      </w:r>
      <w:r w:rsidR="00D42C3C" w:rsidRPr="00D42C3C">
        <w:rPr>
          <w:rFonts w:ascii="Times New Roman" w:eastAsia="Times New Roman" w:hAnsi="Times New Roman" w:cs="Times New Roman"/>
          <w:sz w:val="24"/>
          <w:szCs w:val="24"/>
        </w:rPr>
        <w:t xml:space="preserve"> </w:t>
      </w:r>
      <w:r w:rsidR="00B92ECF">
        <w:rPr>
          <w:rFonts w:ascii="Times New Roman" w:eastAsia="Times New Roman" w:hAnsi="Times New Roman" w:cs="Times New Roman"/>
          <w:sz w:val="24"/>
          <w:szCs w:val="24"/>
        </w:rPr>
        <w:t>increased</w:t>
      </w:r>
      <w:r w:rsidR="00D42C3C">
        <w:rPr>
          <w:rFonts w:ascii="Times New Roman" w:eastAsia="Times New Roman" w:hAnsi="Times New Roman" w:cs="Times New Roman"/>
          <w:sz w:val="24"/>
          <w:szCs w:val="24"/>
        </w:rPr>
        <w:t xml:space="preserve"> </w:t>
      </w:r>
      <w:r w:rsidR="00D42C3C" w:rsidRPr="00D42C3C">
        <w:rPr>
          <w:rFonts w:ascii="Times New Roman" w:eastAsia="Times New Roman" w:hAnsi="Times New Roman" w:cs="Times New Roman"/>
          <w:sz w:val="24"/>
          <w:szCs w:val="24"/>
        </w:rPr>
        <w:t>transaction costs.</w:t>
      </w:r>
      <w:r w:rsidR="00310431">
        <w:rPr>
          <w:rFonts w:ascii="Times New Roman" w:eastAsia="Times New Roman" w:hAnsi="Times New Roman" w:cs="Times New Roman"/>
          <w:sz w:val="24"/>
          <w:szCs w:val="24"/>
        </w:rPr>
        <w:t xml:space="preserve"> </w:t>
      </w:r>
      <w:r w:rsidR="00B92ECF">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rPr>
        <w:t xml:space="preserve">this </w:t>
      </w:r>
      <w:r w:rsidR="00B92ECF">
        <w:rPr>
          <w:rFonts w:ascii="Times New Roman" w:eastAsia="Times New Roman" w:hAnsi="Times New Roman" w:cs="Times New Roman"/>
          <w:sz w:val="24"/>
          <w:szCs w:val="24"/>
        </w:rPr>
        <w:t>policy evolution also creates opportunities for improvement of policy process management</w:t>
      </w:r>
      <w:r w:rsidR="00310431">
        <w:rPr>
          <w:rFonts w:ascii="Times New Roman" w:eastAsia="Times New Roman" w:hAnsi="Times New Roman" w:cs="Times New Roman"/>
          <w:sz w:val="24"/>
          <w:szCs w:val="24"/>
        </w:rPr>
        <w:t>.</w:t>
      </w:r>
      <w:r w:rsidR="00D42C3C" w:rsidRPr="00D42C3C">
        <w:rPr>
          <w:rFonts w:ascii="Times New Roman" w:eastAsia="Times New Roman" w:hAnsi="Times New Roman" w:cs="Times New Roman"/>
          <w:sz w:val="24"/>
          <w:szCs w:val="24"/>
        </w:rPr>
        <w:t xml:space="preserve"> </w:t>
      </w:r>
      <w:r w:rsidR="009460F0">
        <w:rPr>
          <w:rFonts w:ascii="Times New Roman" w:eastAsia="Times New Roman" w:hAnsi="Times New Roman" w:cs="Times New Roman"/>
          <w:sz w:val="24"/>
          <w:szCs w:val="24"/>
        </w:rPr>
        <w:t>The paper</w:t>
      </w:r>
      <w:r w:rsidR="00D42C3C" w:rsidRPr="00D42C3C">
        <w:rPr>
          <w:rFonts w:ascii="Times New Roman" w:eastAsia="Times New Roman" w:hAnsi="Times New Roman" w:cs="Times New Roman"/>
          <w:sz w:val="24"/>
          <w:szCs w:val="24"/>
        </w:rPr>
        <w:t xml:space="preserve"> consider</w:t>
      </w:r>
      <w:r w:rsidR="009460F0">
        <w:rPr>
          <w:rFonts w:ascii="Times New Roman" w:eastAsia="Times New Roman" w:hAnsi="Times New Roman" w:cs="Times New Roman"/>
          <w:sz w:val="24"/>
          <w:szCs w:val="24"/>
        </w:rPr>
        <w:t>s</w:t>
      </w:r>
      <w:r w:rsidR="00D42C3C" w:rsidRPr="00D42C3C">
        <w:rPr>
          <w:rFonts w:ascii="Times New Roman" w:eastAsia="Times New Roman" w:hAnsi="Times New Roman" w:cs="Times New Roman"/>
          <w:sz w:val="24"/>
          <w:szCs w:val="24"/>
        </w:rPr>
        <w:t xml:space="preserve"> </w:t>
      </w:r>
      <w:r w:rsidR="0089431A">
        <w:rPr>
          <w:rFonts w:ascii="Times New Roman" w:eastAsia="Times New Roman" w:hAnsi="Times New Roman" w:cs="Times New Roman"/>
          <w:sz w:val="24"/>
          <w:szCs w:val="24"/>
        </w:rPr>
        <w:t>these opportunities</w:t>
      </w:r>
      <w:r w:rsidR="00D42C3C" w:rsidRPr="00D42C3C">
        <w:rPr>
          <w:rFonts w:ascii="Times New Roman" w:eastAsia="Times New Roman" w:hAnsi="Times New Roman" w:cs="Times New Roman"/>
          <w:sz w:val="24"/>
          <w:szCs w:val="24"/>
        </w:rPr>
        <w:t xml:space="preserve"> in the case of </w:t>
      </w:r>
      <w:r w:rsidR="0089431A">
        <w:rPr>
          <w:rFonts w:ascii="Times New Roman" w:eastAsia="Times New Roman" w:hAnsi="Times New Roman" w:cs="Times New Roman"/>
          <w:sz w:val="24"/>
          <w:szCs w:val="24"/>
        </w:rPr>
        <w:t>R</w:t>
      </w:r>
      <w:r w:rsidR="00D42C3C" w:rsidRPr="00D42C3C">
        <w:rPr>
          <w:rFonts w:ascii="Times New Roman" w:eastAsia="Times New Roman" w:hAnsi="Times New Roman" w:cs="Times New Roman"/>
          <w:sz w:val="24"/>
          <w:szCs w:val="24"/>
        </w:rPr>
        <w:t xml:space="preserve">ural </w:t>
      </w:r>
      <w:r w:rsidR="0089431A">
        <w:rPr>
          <w:rFonts w:ascii="Times New Roman" w:eastAsia="Times New Roman" w:hAnsi="Times New Roman" w:cs="Times New Roman"/>
          <w:sz w:val="24"/>
          <w:szCs w:val="24"/>
        </w:rPr>
        <w:t>D</w:t>
      </w:r>
      <w:r w:rsidR="00D42C3C" w:rsidRPr="00D42C3C">
        <w:rPr>
          <w:rFonts w:ascii="Times New Roman" w:eastAsia="Times New Roman" w:hAnsi="Times New Roman" w:cs="Times New Roman"/>
          <w:sz w:val="24"/>
          <w:szCs w:val="24"/>
        </w:rPr>
        <w:t>evelopment</w:t>
      </w:r>
      <w:r w:rsidR="0089431A">
        <w:rPr>
          <w:rFonts w:ascii="Times New Roman" w:eastAsia="Times New Roman" w:hAnsi="Times New Roman" w:cs="Times New Roman"/>
          <w:sz w:val="24"/>
          <w:szCs w:val="24"/>
        </w:rPr>
        <w:t xml:space="preserve"> Programmes</w:t>
      </w:r>
      <w:r w:rsidR="00D42C3C" w:rsidRPr="00D42C3C">
        <w:rPr>
          <w:rFonts w:ascii="Times New Roman" w:eastAsia="Times New Roman" w:hAnsi="Times New Roman" w:cs="Times New Roman"/>
          <w:sz w:val="24"/>
          <w:szCs w:val="24"/>
        </w:rPr>
        <w:t xml:space="preserve"> (RD</w:t>
      </w:r>
      <w:r w:rsidR="0089431A">
        <w:rPr>
          <w:rFonts w:ascii="Times New Roman" w:eastAsia="Times New Roman" w:hAnsi="Times New Roman" w:cs="Times New Roman"/>
          <w:sz w:val="24"/>
          <w:szCs w:val="24"/>
        </w:rPr>
        <w:t>Ps</w:t>
      </w:r>
      <w:r w:rsidR="00D42C3C" w:rsidRPr="00D42C3C">
        <w:rPr>
          <w:rFonts w:ascii="Times New Roman" w:eastAsia="Times New Roman" w:hAnsi="Times New Roman" w:cs="Times New Roman"/>
          <w:sz w:val="24"/>
          <w:szCs w:val="24"/>
        </w:rPr>
        <w:t xml:space="preserve">) </w:t>
      </w:r>
      <w:r w:rsidR="00D42C3C">
        <w:rPr>
          <w:rFonts w:ascii="Times New Roman" w:eastAsia="Times New Roman" w:hAnsi="Times New Roman" w:cs="Times New Roman"/>
          <w:sz w:val="24"/>
          <w:szCs w:val="24"/>
        </w:rPr>
        <w:t>under Pillar 2 of the CAP.</w:t>
      </w:r>
      <w:r w:rsidR="00D42C3C" w:rsidRPr="00D42C3C">
        <w:rPr>
          <w:rFonts w:ascii="Times New Roman" w:eastAsia="Times New Roman" w:hAnsi="Times New Roman" w:cs="Times New Roman"/>
          <w:sz w:val="24"/>
          <w:szCs w:val="24"/>
        </w:rPr>
        <w:t xml:space="preserve"> </w:t>
      </w:r>
      <w:r w:rsidR="009460F0">
        <w:rPr>
          <w:rFonts w:ascii="Times New Roman" w:eastAsia="Times New Roman" w:hAnsi="Times New Roman" w:cs="Times New Roman"/>
          <w:sz w:val="24"/>
          <w:szCs w:val="24"/>
        </w:rPr>
        <w:t xml:space="preserve"> </w:t>
      </w:r>
      <w:r w:rsidR="003C10E5">
        <w:rPr>
          <w:rFonts w:ascii="Times New Roman" w:eastAsia="Times New Roman" w:hAnsi="Times New Roman" w:cs="Times New Roman"/>
          <w:sz w:val="24"/>
          <w:szCs w:val="24"/>
        </w:rPr>
        <w:t xml:space="preserve">We examine the influence of transaction </w:t>
      </w:r>
      <w:r w:rsidR="00643A57">
        <w:rPr>
          <w:rFonts w:ascii="Times New Roman" w:eastAsia="Times New Roman" w:hAnsi="Times New Roman" w:cs="Times New Roman"/>
          <w:sz w:val="24"/>
          <w:szCs w:val="24"/>
        </w:rPr>
        <w:t xml:space="preserve">effects </w:t>
      </w:r>
      <w:r w:rsidR="003C10E5">
        <w:rPr>
          <w:rFonts w:ascii="Times New Roman" w:eastAsia="Times New Roman" w:hAnsi="Times New Roman" w:cs="Times New Roman"/>
          <w:sz w:val="24"/>
          <w:szCs w:val="24"/>
        </w:rPr>
        <w:t>on RDP performance, b</w:t>
      </w:r>
      <w:r w:rsidR="009460F0">
        <w:rPr>
          <w:rFonts w:ascii="Times New Roman" w:eastAsia="Times New Roman" w:hAnsi="Times New Roman" w:cs="Times New Roman"/>
          <w:sz w:val="24"/>
          <w:szCs w:val="24"/>
        </w:rPr>
        <w:t>ased on</w:t>
      </w:r>
      <w:r w:rsidR="007D6600">
        <w:rPr>
          <w:rFonts w:ascii="Times New Roman" w:eastAsia="Times New Roman" w:hAnsi="Times New Roman" w:cs="Times New Roman"/>
          <w:sz w:val="24"/>
          <w:szCs w:val="24"/>
        </w:rPr>
        <w:t xml:space="preserve"> </w:t>
      </w:r>
      <w:r w:rsidR="00343722">
        <w:rPr>
          <w:rFonts w:ascii="Times New Roman" w:eastAsia="Times New Roman" w:hAnsi="Times New Roman" w:cs="Times New Roman"/>
          <w:sz w:val="24"/>
          <w:szCs w:val="24"/>
        </w:rPr>
        <w:t>direct experience of</w:t>
      </w:r>
      <w:r w:rsidR="00D42C3C" w:rsidRPr="00D42C3C">
        <w:rPr>
          <w:rFonts w:ascii="Times New Roman" w:eastAsia="Times New Roman" w:hAnsi="Times New Roman" w:cs="Times New Roman"/>
          <w:sz w:val="24"/>
          <w:szCs w:val="24"/>
        </w:rPr>
        <w:t xml:space="preserve"> </w:t>
      </w:r>
      <w:r w:rsidR="00D42C3C">
        <w:rPr>
          <w:rFonts w:ascii="Times New Roman" w:eastAsia="Times New Roman" w:hAnsi="Times New Roman" w:cs="Times New Roman"/>
          <w:sz w:val="24"/>
          <w:szCs w:val="24"/>
        </w:rPr>
        <w:t>RDP review and planning</w:t>
      </w:r>
      <w:r w:rsidR="00D42C3C" w:rsidRPr="00D42C3C">
        <w:rPr>
          <w:rFonts w:ascii="Times New Roman" w:eastAsia="Times New Roman" w:hAnsi="Times New Roman" w:cs="Times New Roman"/>
          <w:sz w:val="24"/>
          <w:szCs w:val="24"/>
        </w:rPr>
        <w:t xml:space="preserve"> in</w:t>
      </w:r>
      <w:r w:rsidR="00ED12CD">
        <w:rPr>
          <w:rFonts w:ascii="Times New Roman" w:eastAsia="Times New Roman" w:hAnsi="Times New Roman" w:cs="Times New Roman"/>
          <w:sz w:val="24"/>
          <w:szCs w:val="24"/>
        </w:rPr>
        <w:t xml:space="preserve"> England and</w:t>
      </w:r>
      <w:r w:rsidR="00D42C3C" w:rsidRPr="00D42C3C">
        <w:rPr>
          <w:rFonts w:ascii="Times New Roman" w:eastAsia="Times New Roman" w:hAnsi="Times New Roman" w:cs="Times New Roman"/>
          <w:sz w:val="24"/>
          <w:szCs w:val="24"/>
        </w:rPr>
        <w:t xml:space="preserve"> Malta</w:t>
      </w:r>
      <w:r w:rsidR="00643A57">
        <w:rPr>
          <w:rFonts w:ascii="Times New Roman" w:eastAsia="Times New Roman" w:hAnsi="Times New Roman" w:cs="Times New Roman"/>
          <w:sz w:val="24"/>
          <w:szCs w:val="24"/>
        </w:rPr>
        <w:t>, where q</w:t>
      </w:r>
      <w:r w:rsidR="003C10E5">
        <w:rPr>
          <w:rFonts w:ascii="Times New Roman" w:eastAsia="Times New Roman" w:hAnsi="Times New Roman" w:cs="Times New Roman"/>
          <w:sz w:val="24"/>
          <w:szCs w:val="24"/>
        </w:rPr>
        <w:t>ualitative</w:t>
      </w:r>
      <w:r w:rsidR="00310431">
        <w:rPr>
          <w:rFonts w:ascii="Times New Roman" w:eastAsia="Times New Roman" w:hAnsi="Times New Roman" w:cs="Times New Roman"/>
          <w:sz w:val="24"/>
          <w:szCs w:val="24"/>
        </w:rPr>
        <w:t xml:space="preserve"> evidence</w:t>
      </w:r>
      <w:r w:rsidR="00FA2E61">
        <w:rPr>
          <w:rFonts w:ascii="Times New Roman" w:eastAsia="Times New Roman" w:hAnsi="Times New Roman" w:cs="Times New Roman"/>
          <w:sz w:val="24"/>
          <w:szCs w:val="24"/>
        </w:rPr>
        <w:t xml:space="preserve"> </w:t>
      </w:r>
      <w:r w:rsidR="00310431">
        <w:rPr>
          <w:rFonts w:ascii="Times New Roman" w:eastAsia="Times New Roman" w:hAnsi="Times New Roman" w:cs="Times New Roman"/>
          <w:sz w:val="24"/>
          <w:szCs w:val="24"/>
        </w:rPr>
        <w:t xml:space="preserve">of </w:t>
      </w:r>
      <w:r w:rsidR="00D42C3C" w:rsidRPr="00D42C3C">
        <w:rPr>
          <w:rFonts w:ascii="Times New Roman" w:eastAsia="Times New Roman" w:hAnsi="Times New Roman" w:cs="Times New Roman"/>
          <w:sz w:val="24"/>
          <w:szCs w:val="24"/>
        </w:rPr>
        <w:t>‘transaction benefits’</w:t>
      </w:r>
      <w:r w:rsidR="00643A57">
        <w:rPr>
          <w:rFonts w:ascii="Times New Roman" w:eastAsia="Times New Roman" w:hAnsi="Times New Roman" w:cs="Times New Roman"/>
          <w:sz w:val="24"/>
          <w:szCs w:val="24"/>
        </w:rPr>
        <w:t xml:space="preserve"> is identified. </w:t>
      </w:r>
      <w:r w:rsidR="00580B8A">
        <w:rPr>
          <w:rFonts w:ascii="Times New Roman" w:eastAsia="Times New Roman" w:hAnsi="Times New Roman" w:cs="Times New Roman"/>
          <w:sz w:val="24"/>
          <w:szCs w:val="24"/>
        </w:rPr>
        <w:t xml:space="preserve"> </w:t>
      </w:r>
      <w:r w:rsidR="00643A57">
        <w:rPr>
          <w:rFonts w:ascii="Times New Roman" w:eastAsia="Times New Roman" w:hAnsi="Times New Roman" w:cs="Times New Roman"/>
          <w:sz w:val="24"/>
          <w:szCs w:val="24"/>
        </w:rPr>
        <w:t xml:space="preserve">Benefits occur </w:t>
      </w:r>
      <w:r w:rsidR="00D42C3C">
        <w:rPr>
          <w:rFonts w:ascii="Times New Roman" w:eastAsia="Times New Roman" w:hAnsi="Times New Roman" w:cs="Times New Roman"/>
          <w:sz w:val="24"/>
          <w:szCs w:val="24"/>
        </w:rPr>
        <w:t>when exchange processes are designed in ways that generate positive returns beyond the immediate transaction</w:t>
      </w:r>
      <w:r w:rsidR="007D6600">
        <w:rPr>
          <w:rFonts w:ascii="Times New Roman" w:eastAsia="Times New Roman" w:hAnsi="Times New Roman" w:cs="Times New Roman"/>
          <w:sz w:val="24"/>
          <w:szCs w:val="24"/>
        </w:rPr>
        <w:t>,</w:t>
      </w:r>
      <w:r w:rsidR="00580B8A">
        <w:rPr>
          <w:rFonts w:ascii="Times New Roman" w:eastAsia="Times New Roman" w:hAnsi="Times New Roman" w:cs="Times New Roman"/>
          <w:sz w:val="24"/>
          <w:szCs w:val="24"/>
        </w:rPr>
        <w:t xml:space="preserve"> </w:t>
      </w:r>
      <w:r w:rsidR="003C10E5">
        <w:rPr>
          <w:rFonts w:ascii="Times New Roman" w:eastAsia="Times New Roman" w:hAnsi="Times New Roman" w:cs="Times New Roman"/>
          <w:sz w:val="24"/>
          <w:szCs w:val="24"/>
        </w:rPr>
        <w:t xml:space="preserve">which can </w:t>
      </w:r>
      <w:r w:rsidR="00580B8A">
        <w:rPr>
          <w:rFonts w:ascii="Times New Roman" w:eastAsia="Times New Roman" w:hAnsi="Times New Roman" w:cs="Times New Roman"/>
          <w:sz w:val="24"/>
          <w:szCs w:val="24"/>
        </w:rPr>
        <w:t>outweigh short-term</w:t>
      </w:r>
      <w:r w:rsidR="009460F0">
        <w:rPr>
          <w:rFonts w:ascii="Times New Roman" w:eastAsia="Times New Roman" w:hAnsi="Times New Roman" w:cs="Times New Roman"/>
          <w:sz w:val="24"/>
          <w:szCs w:val="24"/>
        </w:rPr>
        <w:t xml:space="preserve"> </w:t>
      </w:r>
      <w:r w:rsidR="00580B8A">
        <w:rPr>
          <w:rFonts w:ascii="Times New Roman" w:eastAsia="Times New Roman" w:hAnsi="Times New Roman" w:cs="Times New Roman"/>
          <w:sz w:val="24"/>
          <w:szCs w:val="24"/>
        </w:rPr>
        <w:t>costs</w:t>
      </w:r>
      <w:r w:rsidR="00D42C3C" w:rsidRPr="00D42C3C">
        <w:rPr>
          <w:rFonts w:ascii="Times New Roman" w:eastAsia="Times New Roman" w:hAnsi="Times New Roman" w:cs="Times New Roman"/>
          <w:sz w:val="24"/>
          <w:szCs w:val="24"/>
        </w:rPr>
        <w:t xml:space="preserve">. </w:t>
      </w:r>
      <w:r w:rsidR="003C10E5">
        <w:rPr>
          <w:rFonts w:ascii="Times New Roman" w:eastAsia="Times New Roman" w:hAnsi="Times New Roman" w:cs="Times New Roman"/>
          <w:sz w:val="24"/>
          <w:szCs w:val="24"/>
        </w:rPr>
        <w:t>We</w:t>
      </w:r>
      <w:r w:rsidR="009460F0">
        <w:rPr>
          <w:rFonts w:ascii="Times New Roman" w:eastAsia="Times New Roman" w:hAnsi="Times New Roman" w:cs="Times New Roman"/>
          <w:sz w:val="24"/>
          <w:szCs w:val="24"/>
        </w:rPr>
        <w:t xml:space="preserve"> conclude </w:t>
      </w:r>
      <w:r w:rsidR="000A36A5">
        <w:rPr>
          <w:rFonts w:ascii="Times New Roman" w:eastAsia="Times New Roman" w:hAnsi="Times New Roman" w:cs="Times New Roman"/>
          <w:sz w:val="24"/>
          <w:szCs w:val="24"/>
        </w:rPr>
        <w:t xml:space="preserve">that more attention </w:t>
      </w:r>
      <w:r w:rsidR="00D42C3C" w:rsidRPr="00D42C3C">
        <w:rPr>
          <w:rFonts w:ascii="Times New Roman" w:eastAsia="Times New Roman" w:hAnsi="Times New Roman" w:cs="Times New Roman"/>
          <w:sz w:val="24"/>
          <w:szCs w:val="24"/>
        </w:rPr>
        <w:t xml:space="preserve">to </w:t>
      </w:r>
      <w:r w:rsidR="000A36A5">
        <w:rPr>
          <w:rFonts w:ascii="Times New Roman" w:eastAsia="Times New Roman" w:hAnsi="Times New Roman" w:cs="Times New Roman"/>
          <w:sz w:val="24"/>
          <w:szCs w:val="24"/>
        </w:rPr>
        <w:t>these aspects of policy design</w:t>
      </w:r>
      <w:r w:rsidR="00D42C3C" w:rsidRPr="00D42C3C">
        <w:rPr>
          <w:rFonts w:ascii="Times New Roman" w:eastAsia="Times New Roman" w:hAnsi="Times New Roman" w:cs="Times New Roman"/>
          <w:sz w:val="24"/>
          <w:szCs w:val="24"/>
        </w:rPr>
        <w:t xml:space="preserve"> </w:t>
      </w:r>
      <w:r w:rsidR="000A36A5">
        <w:rPr>
          <w:rFonts w:ascii="Times New Roman" w:eastAsia="Times New Roman" w:hAnsi="Times New Roman" w:cs="Times New Roman"/>
          <w:sz w:val="24"/>
          <w:szCs w:val="24"/>
        </w:rPr>
        <w:t>is warranted</w:t>
      </w:r>
      <w:r w:rsidR="00580B8A">
        <w:rPr>
          <w:rFonts w:ascii="Times New Roman" w:eastAsia="Times New Roman" w:hAnsi="Times New Roman" w:cs="Times New Roman"/>
          <w:sz w:val="24"/>
          <w:szCs w:val="24"/>
        </w:rPr>
        <w:t xml:space="preserve"> in future rural development programming</w:t>
      </w:r>
      <w:r w:rsidR="00FA2E61">
        <w:rPr>
          <w:rFonts w:ascii="Times New Roman" w:eastAsia="Times New Roman" w:hAnsi="Times New Roman" w:cs="Times New Roman"/>
          <w:sz w:val="24"/>
          <w:szCs w:val="24"/>
        </w:rPr>
        <w:t xml:space="preserve"> and evaluation.</w:t>
      </w:r>
    </w:p>
    <w:p w:rsidR="00D42C3C" w:rsidRDefault="00D42C3C" w:rsidP="00A572ED">
      <w:pPr>
        <w:tabs>
          <w:tab w:val="left" w:pos="709"/>
        </w:tabs>
        <w:spacing w:before="100" w:beforeAutospacing="1" w:after="100" w:afterAutospacing="1" w:line="360" w:lineRule="auto"/>
        <w:rPr>
          <w:rFonts w:ascii="Times New Roman" w:eastAsia="Times New Roman" w:hAnsi="Times New Roman" w:cs="Times New Roman"/>
          <w:sz w:val="24"/>
          <w:szCs w:val="24"/>
          <w:lang w:val="en-GB"/>
        </w:rPr>
      </w:pPr>
      <w:r w:rsidRPr="00D42C3C">
        <w:rPr>
          <w:rFonts w:ascii="Times New Roman" w:eastAsia="Times New Roman" w:hAnsi="Times New Roman" w:cs="Times New Roman"/>
          <w:b/>
          <w:sz w:val="24"/>
          <w:szCs w:val="24"/>
          <w:lang w:val="en-GB"/>
        </w:rPr>
        <w:t>Keywords</w:t>
      </w:r>
      <w:r w:rsidR="00413E1D">
        <w:rPr>
          <w:rFonts w:ascii="Times New Roman" w:eastAsia="Times New Roman" w:hAnsi="Times New Roman" w:cs="Times New Roman"/>
          <w:sz w:val="24"/>
          <w:szCs w:val="24"/>
          <w:lang w:val="en-GB"/>
        </w:rPr>
        <w:t xml:space="preserve"> </w:t>
      </w:r>
      <w:r w:rsidR="007D6600">
        <w:rPr>
          <w:rFonts w:ascii="Times New Roman" w:eastAsia="Times New Roman" w:hAnsi="Times New Roman" w:cs="Times New Roman"/>
          <w:sz w:val="24"/>
          <w:szCs w:val="24"/>
          <w:lang w:val="en-GB"/>
        </w:rPr>
        <w:t xml:space="preserve">EU </w:t>
      </w:r>
      <w:r w:rsidR="0089431A">
        <w:rPr>
          <w:rFonts w:ascii="Times New Roman" w:eastAsia="Times New Roman" w:hAnsi="Times New Roman" w:cs="Times New Roman"/>
          <w:sz w:val="24"/>
          <w:szCs w:val="24"/>
          <w:lang w:val="en-GB"/>
        </w:rPr>
        <w:t>R</w:t>
      </w:r>
      <w:r w:rsidR="000A36A5">
        <w:rPr>
          <w:rFonts w:ascii="Times New Roman" w:eastAsia="Times New Roman" w:hAnsi="Times New Roman" w:cs="Times New Roman"/>
          <w:sz w:val="24"/>
          <w:szCs w:val="24"/>
          <w:lang w:val="en-GB"/>
        </w:rPr>
        <w:t xml:space="preserve">ural </w:t>
      </w:r>
      <w:r w:rsidR="0089431A">
        <w:rPr>
          <w:rFonts w:ascii="Times New Roman" w:eastAsia="Times New Roman" w:hAnsi="Times New Roman" w:cs="Times New Roman"/>
          <w:sz w:val="24"/>
          <w:szCs w:val="24"/>
          <w:lang w:val="en-GB"/>
        </w:rPr>
        <w:t>D</w:t>
      </w:r>
      <w:r w:rsidR="000A36A5">
        <w:rPr>
          <w:rFonts w:ascii="Times New Roman" w:eastAsia="Times New Roman" w:hAnsi="Times New Roman" w:cs="Times New Roman"/>
          <w:sz w:val="24"/>
          <w:szCs w:val="24"/>
          <w:lang w:val="en-GB"/>
        </w:rPr>
        <w:t xml:space="preserve">evelopment </w:t>
      </w:r>
      <w:r w:rsidR="0089431A">
        <w:rPr>
          <w:rFonts w:ascii="Times New Roman" w:eastAsia="Times New Roman" w:hAnsi="Times New Roman" w:cs="Times New Roman"/>
          <w:sz w:val="24"/>
          <w:szCs w:val="24"/>
          <w:lang w:val="en-GB"/>
        </w:rPr>
        <w:t>P</w:t>
      </w:r>
      <w:r w:rsidR="000A36A5">
        <w:rPr>
          <w:rFonts w:ascii="Times New Roman" w:eastAsia="Times New Roman" w:hAnsi="Times New Roman" w:cs="Times New Roman"/>
          <w:sz w:val="24"/>
          <w:szCs w:val="24"/>
          <w:lang w:val="en-GB"/>
        </w:rPr>
        <w:t xml:space="preserve">rogrammes, </w:t>
      </w:r>
      <w:r w:rsidR="003C10E5">
        <w:rPr>
          <w:rFonts w:ascii="Times New Roman" w:eastAsia="Times New Roman" w:hAnsi="Times New Roman" w:cs="Times New Roman"/>
          <w:sz w:val="24"/>
          <w:szCs w:val="24"/>
          <w:lang w:val="en-GB"/>
        </w:rPr>
        <w:t xml:space="preserve">England, Malta, </w:t>
      </w:r>
      <w:r w:rsidR="000A36A5">
        <w:rPr>
          <w:rFonts w:ascii="Times New Roman" w:eastAsia="Times New Roman" w:hAnsi="Times New Roman" w:cs="Times New Roman"/>
          <w:sz w:val="24"/>
          <w:szCs w:val="24"/>
          <w:lang w:val="en-GB"/>
        </w:rPr>
        <w:t>transaction costs</w:t>
      </w:r>
      <w:r w:rsidR="00C54798">
        <w:rPr>
          <w:rFonts w:ascii="Times New Roman" w:eastAsia="Times New Roman" w:hAnsi="Times New Roman" w:cs="Times New Roman"/>
          <w:sz w:val="24"/>
          <w:szCs w:val="24"/>
          <w:lang w:val="en-GB"/>
        </w:rPr>
        <w:t>, transaction</w:t>
      </w:r>
      <w:r w:rsidR="000A36A5">
        <w:rPr>
          <w:rFonts w:ascii="Times New Roman" w:eastAsia="Times New Roman" w:hAnsi="Times New Roman" w:cs="Times New Roman"/>
          <w:sz w:val="24"/>
          <w:szCs w:val="24"/>
          <w:lang w:val="en-GB"/>
        </w:rPr>
        <w:t xml:space="preserve"> benefits, policy performance</w:t>
      </w:r>
      <w:r w:rsidR="00C54798">
        <w:rPr>
          <w:rFonts w:ascii="Times New Roman" w:eastAsia="Times New Roman" w:hAnsi="Times New Roman" w:cs="Times New Roman"/>
          <w:sz w:val="24"/>
          <w:szCs w:val="24"/>
          <w:lang w:val="en-GB"/>
        </w:rPr>
        <w:t xml:space="preserve">, policy </w:t>
      </w:r>
      <w:r w:rsidR="0089431A">
        <w:rPr>
          <w:rFonts w:ascii="Times New Roman" w:eastAsia="Times New Roman" w:hAnsi="Times New Roman" w:cs="Times New Roman"/>
          <w:sz w:val="24"/>
          <w:szCs w:val="24"/>
          <w:lang w:val="en-GB"/>
        </w:rPr>
        <w:t>desig</w:t>
      </w:r>
      <w:r w:rsidR="00C54798">
        <w:rPr>
          <w:rFonts w:ascii="Times New Roman" w:eastAsia="Times New Roman" w:hAnsi="Times New Roman" w:cs="Times New Roman"/>
          <w:sz w:val="24"/>
          <w:szCs w:val="24"/>
          <w:lang w:val="en-GB"/>
        </w:rPr>
        <w:t>n</w:t>
      </w:r>
      <w:r w:rsidR="003C10E5">
        <w:rPr>
          <w:rFonts w:ascii="Times New Roman" w:eastAsia="Times New Roman" w:hAnsi="Times New Roman" w:cs="Times New Roman"/>
          <w:sz w:val="24"/>
          <w:szCs w:val="24"/>
          <w:lang w:val="en-GB"/>
        </w:rPr>
        <w:t xml:space="preserve">, policy </w:t>
      </w:r>
      <w:r w:rsidR="0089431A">
        <w:rPr>
          <w:rFonts w:ascii="Times New Roman" w:eastAsia="Times New Roman" w:hAnsi="Times New Roman" w:cs="Times New Roman"/>
          <w:sz w:val="24"/>
          <w:szCs w:val="24"/>
          <w:lang w:val="en-GB"/>
        </w:rPr>
        <w:t>implementation</w:t>
      </w:r>
      <w:r w:rsidR="00EE518E">
        <w:rPr>
          <w:rFonts w:ascii="Times New Roman" w:eastAsia="Times New Roman" w:hAnsi="Times New Roman" w:cs="Times New Roman"/>
          <w:sz w:val="24"/>
          <w:szCs w:val="24"/>
          <w:lang w:val="en-GB"/>
        </w:rPr>
        <w:t>, new institutional economics</w:t>
      </w:r>
    </w:p>
    <w:p w:rsidR="003C10E5" w:rsidRDefault="003C10E5" w:rsidP="008D745F">
      <w:pPr>
        <w:tabs>
          <w:tab w:val="left" w:pos="1418"/>
        </w:tabs>
        <w:spacing w:before="100" w:beforeAutospacing="1" w:after="100" w:afterAutospacing="1" w:line="360" w:lineRule="auto"/>
        <w:ind w:left="1418" w:hanging="1418"/>
        <w:rPr>
          <w:rFonts w:ascii="Times New Roman" w:eastAsia="Times New Roman" w:hAnsi="Times New Roman" w:cs="Times New Roman"/>
          <w:sz w:val="24"/>
          <w:szCs w:val="24"/>
          <w:lang w:val="fr-FR"/>
        </w:rPr>
      </w:pPr>
      <w:r w:rsidRPr="0024232A">
        <w:rPr>
          <w:rFonts w:ascii="Times New Roman" w:eastAsia="Times New Roman" w:hAnsi="Times New Roman" w:cs="Times New Roman"/>
          <w:b/>
          <w:sz w:val="24"/>
          <w:szCs w:val="24"/>
          <w:lang w:val="fr-FR"/>
        </w:rPr>
        <w:t>JEL Classification:</w:t>
      </w:r>
      <w:r w:rsidR="0024232A" w:rsidRPr="0024232A">
        <w:rPr>
          <w:rFonts w:ascii="Times New Roman" w:eastAsia="Times New Roman" w:hAnsi="Times New Roman" w:cs="Times New Roman"/>
          <w:sz w:val="24"/>
          <w:szCs w:val="24"/>
          <w:lang w:val="fr-FR"/>
        </w:rPr>
        <w:t xml:space="preserve"> Q18, P48, H11</w:t>
      </w:r>
      <w:r w:rsidRPr="0024232A">
        <w:rPr>
          <w:rFonts w:ascii="Times New Roman" w:eastAsia="Times New Roman" w:hAnsi="Times New Roman" w:cs="Times New Roman"/>
          <w:sz w:val="24"/>
          <w:szCs w:val="24"/>
          <w:lang w:val="fr-FR"/>
        </w:rPr>
        <w:t>.</w:t>
      </w:r>
    </w:p>
    <w:p w:rsidR="00190F62" w:rsidRPr="0007711C" w:rsidRDefault="00A572ED" w:rsidP="008D745F">
      <w:pPr>
        <w:pStyle w:val="Heading2"/>
        <w:numPr>
          <w:ilvl w:val="0"/>
          <w:numId w:val="10"/>
        </w:numPr>
        <w:spacing w:line="360" w:lineRule="auto"/>
      </w:pPr>
      <w:r>
        <w:t>I</w:t>
      </w:r>
      <w:r w:rsidR="00190F62" w:rsidRPr="0007711C">
        <w:t>ntroduction</w:t>
      </w:r>
      <w:bookmarkStart w:id="0" w:name="_GoBack"/>
      <w:bookmarkEnd w:id="0"/>
    </w:p>
    <w:p w:rsidR="00190F62" w:rsidRPr="00413E1D" w:rsidRDefault="00A572ED" w:rsidP="00A572E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E</w:t>
      </w:r>
      <w:r w:rsidR="00190F62" w:rsidRPr="00413E1D">
        <w:rPr>
          <w:rFonts w:ascii="Times New Roman" w:hAnsi="Times New Roman" w:cs="Times New Roman"/>
          <w:bCs/>
          <w:sz w:val="24"/>
          <w:szCs w:val="24"/>
        </w:rPr>
        <w:t xml:space="preserve">conomics is based </w:t>
      </w:r>
      <w:r w:rsidR="003C10E5">
        <w:rPr>
          <w:rFonts w:ascii="Times New Roman" w:hAnsi="Times New Roman" w:cs="Times New Roman"/>
          <w:bCs/>
          <w:sz w:val="24"/>
          <w:szCs w:val="24"/>
        </w:rPr>
        <w:t>on</w:t>
      </w:r>
      <w:r w:rsidR="003C10E5" w:rsidRPr="00413E1D">
        <w:rPr>
          <w:rFonts w:ascii="Times New Roman" w:hAnsi="Times New Roman" w:cs="Times New Roman"/>
          <w:bCs/>
          <w:sz w:val="24"/>
          <w:szCs w:val="24"/>
        </w:rPr>
        <w:t xml:space="preserve"> </w:t>
      </w:r>
      <w:r w:rsidR="00190F62" w:rsidRPr="00413E1D">
        <w:rPr>
          <w:rFonts w:ascii="Times New Roman" w:hAnsi="Times New Roman" w:cs="Times New Roman"/>
          <w:bCs/>
          <w:sz w:val="24"/>
          <w:szCs w:val="24"/>
        </w:rPr>
        <w:t xml:space="preserve">the analysis of </w:t>
      </w:r>
      <w:r w:rsidR="00A80556">
        <w:rPr>
          <w:rFonts w:ascii="Times New Roman" w:hAnsi="Times New Roman" w:cs="Times New Roman"/>
          <w:bCs/>
          <w:sz w:val="24"/>
          <w:szCs w:val="24"/>
        </w:rPr>
        <w:t xml:space="preserve">market </w:t>
      </w:r>
      <w:r w:rsidR="00190F62" w:rsidRPr="00413E1D">
        <w:rPr>
          <w:rFonts w:ascii="Times New Roman" w:hAnsi="Times New Roman" w:cs="Times New Roman"/>
          <w:bCs/>
          <w:sz w:val="24"/>
          <w:szCs w:val="24"/>
        </w:rPr>
        <w:t xml:space="preserve">exchange as </w:t>
      </w:r>
      <w:r w:rsidR="00A80556">
        <w:rPr>
          <w:rFonts w:ascii="Times New Roman" w:hAnsi="Times New Roman" w:cs="Times New Roman"/>
          <w:bCs/>
          <w:sz w:val="24"/>
          <w:szCs w:val="24"/>
        </w:rPr>
        <w:t>a</w:t>
      </w:r>
      <w:r w:rsidR="00190F62" w:rsidRPr="00413E1D">
        <w:rPr>
          <w:rFonts w:ascii="Times New Roman" w:hAnsi="Times New Roman" w:cs="Times New Roman"/>
          <w:bCs/>
          <w:sz w:val="24"/>
          <w:szCs w:val="24"/>
        </w:rPr>
        <w:t xml:space="preserve"> fundamental </w:t>
      </w:r>
      <w:r w:rsidR="00A80556">
        <w:rPr>
          <w:rFonts w:ascii="Times New Roman" w:hAnsi="Times New Roman" w:cs="Times New Roman"/>
          <w:bCs/>
          <w:sz w:val="24"/>
          <w:szCs w:val="24"/>
        </w:rPr>
        <w:t>transaction</w:t>
      </w:r>
      <w:r w:rsidR="00A80556" w:rsidRPr="00413E1D">
        <w:rPr>
          <w:rFonts w:ascii="Times New Roman" w:hAnsi="Times New Roman" w:cs="Times New Roman"/>
          <w:bCs/>
          <w:sz w:val="24"/>
          <w:szCs w:val="24"/>
        </w:rPr>
        <w:t xml:space="preserve"> </w:t>
      </w:r>
      <w:r w:rsidR="00190F62" w:rsidRPr="00413E1D">
        <w:rPr>
          <w:rFonts w:ascii="Times New Roman" w:hAnsi="Times New Roman" w:cs="Times New Roman"/>
          <w:bCs/>
          <w:sz w:val="24"/>
          <w:szCs w:val="24"/>
        </w:rPr>
        <w:t xml:space="preserve">of human and societal development. </w:t>
      </w:r>
      <w:r w:rsidR="00A80556">
        <w:rPr>
          <w:rFonts w:ascii="Times New Roman" w:hAnsi="Times New Roman" w:cs="Times New Roman"/>
          <w:bCs/>
          <w:sz w:val="24"/>
          <w:szCs w:val="24"/>
        </w:rPr>
        <w:t>S</w:t>
      </w:r>
      <w:r w:rsidR="00190F62" w:rsidRPr="00413E1D">
        <w:rPr>
          <w:rFonts w:ascii="Times New Roman" w:hAnsi="Times New Roman" w:cs="Times New Roman"/>
          <w:bCs/>
          <w:sz w:val="24"/>
          <w:szCs w:val="24"/>
        </w:rPr>
        <w:t xml:space="preserve">tandard market analyses tend to concentrate on the </w:t>
      </w:r>
      <w:r w:rsidR="00C35298">
        <w:rPr>
          <w:rFonts w:ascii="Times New Roman" w:hAnsi="Times New Roman" w:cs="Times New Roman"/>
          <w:bCs/>
          <w:sz w:val="24"/>
          <w:szCs w:val="24"/>
        </w:rPr>
        <w:t>outcomes</w:t>
      </w:r>
      <w:r w:rsidR="00190F62" w:rsidRPr="00413E1D">
        <w:rPr>
          <w:rFonts w:ascii="Times New Roman" w:hAnsi="Times New Roman" w:cs="Times New Roman"/>
          <w:bCs/>
          <w:sz w:val="24"/>
          <w:szCs w:val="24"/>
        </w:rPr>
        <w:t xml:space="preserve"> of exchange – the </w:t>
      </w:r>
      <w:r w:rsidR="00A80556">
        <w:rPr>
          <w:rFonts w:ascii="Times New Roman" w:hAnsi="Times New Roman" w:cs="Times New Roman"/>
          <w:bCs/>
          <w:sz w:val="24"/>
          <w:szCs w:val="24"/>
        </w:rPr>
        <w:t>balance</w:t>
      </w:r>
      <w:r w:rsidR="00A80556" w:rsidRPr="00413E1D">
        <w:rPr>
          <w:rFonts w:ascii="Times New Roman" w:hAnsi="Times New Roman" w:cs="Times New Roman"/>
          <w:bCs/>
          <w:sz w:val="24"/>
          <w:szCs w:val="24"/>
        </w:rPr>
        <w:t xml:space="preserve"> </w:t>
      </w:r>
      <w:r w:rsidR="00A80556">
        <w:rPr>
          <w:rFonts w:ascii="Times New Roman" w:hAnsi="Times New Roman" w:cs="Times New Roman"/>
          <w:bCs/>
          <w:sz w:val="24"/>
          <w:szCs w:val="24"/>
        </w:rPr>
        <w:t>between</w:t>
      </w:r>
      <w:r w:rsidR="00A80556" w:rsidRPr="00413E1D">
        <w:rPr>
          <w:rFonts w:ascii="Times New Roman" w:hAnsi="Times New Roman" w:cs="Times New Roman"/>
          <w:bCs/>
          <w:sz w:val="24"/>
          <w:szCs w:val="24"/>
        </w:rPr>
        <w:t xml:space="preserve"> </w:t>
      </w:r>
      <w:r w:rsidR="00190F62" w:rsidRPr="00413E1D">
        <w:rPr>
          <w:rFonts w:ascii="Times New Roman" w:hAnsi="Times New Roman" w:cs="Times New Roman"/>
          <w:bCs/>
          <w:sz w:val="24"/>
          <w:szCs w:val="24"/>
        </w:rPr>
        <w:t xml:space="preserve">supply and demand, and the </w:t>
      </w:r>
      <w:r w:rsidR="00CA5C9D">
        <w:rPr>
          <w:rFonts w:ascii="Times New Roman" w:hAnsi="Times New Roman" w:cs="Times New Roman"/>
          <w:bCs/>
          <w:sz w:val="24"/>
          <w:szCs w:val="24"/>
        </w:rPr>
        <w:t>comparativ</w:t>
      </w:r>
      <w:r w:rsidR="00A80556">
        <w:rPr>
          <w:rFonts w:ascii="Times New Roman" w:hAnsi="Times New Roman" w:cs="Times New Roman"/>
          <w:bCs/>
          <w:sz w:val="24"/>
          <w:szCs w:val="24"/>
        </w:rPr>
        <w:t>e statics</w:t>
      </w:r>
      <w:r w:rsidR="00A80556" w:rsidRPr="00413E1D">
        <w:rPr>
          <w:rFonts w:ascii="Times New Roman" w:hAnsi="Times New Roman" w:cs="Times New Roman"/>
          <w:bCs/>
          <w:sz w:val="24"/>
          <w:szCs w:val="24"/>
        </w:rPr>
        <w:t xml:space="preserve"> </w:t>
      </w:r>
      <w:r w:rsidR="00190F62" w:rsidRPr="00413E1D">
        <w:rPr>
          <w:rFonts w:ascii="Times New Roman" w:hAnsi="Times New Roman" w:cs="Times New Roman"/>
          <w:bCs/>
          <w:sz w:val="24"/>
          <w:szCs w:val="24"/>
        </w:rPr>
        <w:t xml:space="preserve">of </w:t>
      </w:r>
      <w:r w:rsidR="00A80556">
        <w:rPr>
          <w:rFonts w:ascii="Times New Roman" w:hAnsi="Times New Roman" w:cs="Times New Roman"/>
          <w:bCs/>
          <w:sz w:val="24"/>
          <w:szCs w:val="24"/>
        </w:rPr>
        <w:t xml:space="preserve">changing </w:t>
      </w:r>
      <w:r w:rsidR="00190F62" w:rsidRPr="00413E1D">
        <w:rPr>
          <w:rFonts w:ascii="Times New Roman" w:hAnsi="Times New Roman" w:cs="Times New Roman"/>
          <w:bCs/>
          <w:sz w:val="24"/>
          <w:szCs w:val="24"/>
        </w:rPr>
        <w:t>equilibrium conditions</w:t>
      </w:r>
      <w:r w:rsidR="00A80556">
        <w:rPr>
          <w:rFonts w:ascii="Times New Roman" w:hAnsi="Times New Roman" w:cs="Times New Roman"/>
          <w:bCs/>
          <w:sz w:val="24"/>
          <w:szCs w:val="24"/>
        </w:rPr>
        <w:t>.</w:t>
      </w:r>
      <w:r w:rsidR="00190F62" w:rsidRPr="00413E1D">
        <w:rPr>
          <w:rFonts w:ascii="Times New Roman" w:hAnsi="Times New Roman" w:cs="Times New Roman"/>
          <w:bCs/>
          <w:sz w:val="24"/>
          <w:szCs w:val="24"/>
        </w:rPr>
        <w:t xml:space="preserve"> </w:t>
      </w:r>
      <w:r w:rsidR="00A80556">
        <w:rPr>
          <w:rFonts w:ascii="Times New Roman" w:hAnsi="Times New Roman" w:cs="Times New Roman"/>
          <w:bCs/>
          <w:sz w:val="24"/>
          <w:szCs w:val="24"/>
        </w:rPr>
        <w:t>L</w:t>
      </w:r>
      <w:r w:rsidR="00190F62" w:rsidRPr="00413E1D">
        <w:rPr>
          <w:rFonts w:ascii="Times New Roman" w:hAnsi="Times New Roman" w:cs="Times New Roman"/>
          <w:bCs/>
          <w:sz w:val="24"/>
          <w:szCs w:val="24"/>
        </w:rPr>
        <w:t xml:space="preserve">ess attention </w:t>
      </w:r>
      <w:r w:rsidR="002D793F">
        <w:rPr>
          <w:rFonts w:ascii="Times New Roman" w:hAnsi="Times New Roman" w:cs="Times New Roman"/>
          <w:bCs/>
          <w:sz w:val="24"/>
          <w:szCs w:val="24"/>
        </w:rPr>
        <w:t>has been</w:t>
      </w:r>
      <w:r w:rsidR="00E22D2A">
        <w:rPr>
          <w:rFonts w:ascii="Times New Roman" w:hAnsi="Times New Roman" w:cs="Times New Roman"/>
          <w:bCs/>
          <w:sz w:val="24"/>
          <w:szCs w:val="24"/>
        </w:rPr>
        <w:t xml:space="preserve"> devoted to </w:t>
      </w:r>
      <w:r w:rsidR="00190F62" w:rsidRPr="00413E1D">
        <w:rPr>
          <w:rFonts w:ascii="Times New Roman" w:hAnsi="Times New Roman" w:cs="Times New Roman"/>
          <w:bCs/>
          <w:sz w:val="24"/>
          <w:szCs w:val="24"/>
        </w:rPr>
        <w:t>the process</w:t>
      </w:r>
      <w:r w:rsidR="00EE518E">
        <w:rPr>
          <w:rFonts w:ascii="Times New Roman" w:hAnsi="Times New Roman" w:cs="Times New Roman"/>
          <w:bCs/>
          <w:sz w:val="24"/>
          <w:szCs w:val="24"/>
        </w:rPr>
        <w:t>es</w:t>
      </w:r>
      <w:r w:rsidR="00190F62" w:rsidRPr="00413E1D">
        <w:rPr>
          <w:rFonts w:ascii="Times New Roman" w:hAnsi="Times New Roman" w:cs="Times New Roman"/>
          <w:bCs/>
          <w:sz w:val="24"/>
          <w:szCs w:val="24"/>
        </w:rPr>
        <w:t xml:space="preserve"> of exchange, and the effects </w:t>
      </w:r>
      <w:r w:rsidR="00EE518E">
        <w:rPr>
          <w:rFonts w:ascii="Times New Roman" w:hAnsi="Times New Roman" w:cs="Times New Roman"/>
          <w:bCs/>
          <w:sz w:val="24"/>
          <w:szCs w:val="24"/>
        </w:rPr>
        <w:t>these</w:t>
      </w:r>
      <w:r w:rsidR="00190F62" w:rsidRPr="00413E1D">
        <w:rPr>
          <w:rFonts w:ascii="Times New Roman" w:hAnsi="Times New Roman" w:cs="Times New Roman"/>
          <w:bCs/>
          <w:sz w:val="24"/>
          <w:szCs w:val="24"/>
        </w:rPr>
        <w:t xml:space="preserve"> might have </w:t>
      </w:r>
      <w:r w:rsidR="00A80556">
        <w:rPr>
          <w:rFonts w:ascii="Times New Roman" w:hAnsi="Times New Roman" w:cs="Times New Roman"/>
          <w:bCs/>
          <w:sz w:val="24"/>
          <w:szCs w:val="24"/>
        </w:rPr>
        <w:t>on</w:t>
      </w:r>
      <w:r w:rsidR="00A80556" w:rsidRPr="00413E1D">
        <w:rPr>
          <w:rFonts w:ascii="Times New Roman" w:hAnsi="Times New Roman" w:cs="Times New Roman"/>
          <w:bCs/>
          <w:sz w:val="24"/>
          <w:szCs w:val="24"/>
        </w:rPr>
        <w:t xml:space="preserve"> </w:t>
      </w:r>
      <w:r w:rsidR="00C35298">
        <w:rPr>
          <w:rFonts w:ascii="Times New Roman" w:hAnsi="Times New Roman" w:cs="Times New Roman"/>
          <w:bCs/>
          <w:sz w:val="24"/>
          <w:szCs w:val="24"/>
        </w:rPr>
        <w:t>outcomes</w:t>
      </w:r>
      <w:r w:rsidR="00190F62" w:rsidRPr="00413E1D">
        <w:rPr>
          <w:rFonts w:ascii="Times New Roman" w:hAnsi="Times New Roman" w:cs="Times New Roman"/>
          <w:bCs/>
          <w:sz w:val="24"/>
          <w:szCs w:val="24"/>
        </w:rPr>
        <w:t xml:space="preserve">. </w:t>
      </w:r>
      <w:r w:rsidR="00C824E1" w:rsidRPr="00413E1D">
        <w:rPr>
          <w:rFonts w:ascii="Times New Roman" w:hAnsi="Times New Roman" w:cs="Times New Roman"/>
          <w:bCs/>
          <w:sz w:val="24"/>
          <w:szCs w:val="24"/>
        </w:rPr>
        <w:t>The emergence of institutional economics</w:t>
      </w:r>
      <w:r w:rsidR="00D660D2" w:rsidRPr="00413E1D">
        <w:rPr>
          <w:rFonts w:ascii="Times New Roman" w:hAnsi="Times New Roman" w:cs="Times New Roman"/>
          <w:bCs/>
          <w:sz w:val="24"/>
          <w:szCs w:val="24"/>
        </w:rPr>
        <w:t xml:space="preserve"> as a significant strand in the discipline</w:t>
      </w:r>
      <w:r w:rsidR="00580B8A">
        <w:rPr>
          <w:rFonts w:ascii="Times New Roman" w:hAnsi="Times New Roman" w:cs="Times New Roman"/>
          <w:bCs/>
          <w:sz w:val="24"/>
          <w:szCs w:val="24"/>
        </w:rPr>
        <w:t xml:space="preserve"> (North</w:t>
      </w:r>
      <w:r w:rsidR="000E1DCE">
        <w:rPr>
          <w:rFonts w:ascii="Times New Roman" w:hAnsi="Times New Roman" w:cs="Times New Roman"/>
          <w:bCs/>
          <w:sz w:val="24"/>
          <w:szCs w:val="24"/>
        </w:rPr>
        <w:t>, 1990</w:t>
      </w:r>
      <w:r w:rsidR="003910CC">
        <w:rPr>
          <w:rFonts w:ascii="Times New Roman" w:hAnsi="Times New Roman" w:cs="Times New Roman"/>
          <w:bCs/>
          <w:sz w:val="24"/>
          <w:szCs w:val="24"/>
        </w:rPr>
        <w:t>a</w:t>
      </w:r>
      <w:r w:rsidR="00EE518E">
        <w:rPr>
          <w:rFonts w:ascii="Times New Roman" w:hAnsi="Times New Roman" w:cs="Times New Roman"/>
          <w:bCs/>
          <w:sz w:val="24"/>
          <w:szCs w:val="24"/>
        </w:rPr>
        <w:t xml:space="preserve">, </w:t>
      </w:r>
      <w:r w:rsidR="00EE518E" w:rsidRPr="00B93C0B">
        <w:rPr>
          <w:rFonts w:ascii="Times New Roman" w:hAnsi="Times New Roman" w:cs="Times New Roman"/>
          <w:sz w:val="24"/>
          <w:szCs w:val="24"/>
        </w:rPr>
        <w:t>Williamson, 1975, 1996</w:t>
      </w:r>
      <w:r w:rsidR="000E1DCE">
        <w:rPr>
          <w:rFonts w:ascii="Times New Roman" w:hAnsi="Times New Roman" w:cs="Times New Roman"/>
          <w:bCs/>
          <w:sz w:val="24"/>
          <w:szCs w:val="24"/>
        </w:rPr>
        <w:t>)</w:t>
      </w:r>
      <w:r w:rsidR="00580B8A">
        <w:rPr>
          <w:rFonts w:ascii="Times New Roman" w:hAnsi="Times New Roman" w:cs="Times New Roman"/>
          <w:bCs/>
          <w:sz w:val="24"/>
          <w:szCs w:val="24"/>
        </w:rPr>
        <w:t xml:space="preserve"> </w:t>
      </w:r>
      <w:r w:rsidR="00D660D2" w:rsidRPr="00413E1D">
        <w:rPr>
          <w:rFonts w:ascii="Times New Roman" w:hAnsi="Times New Roman" w:cs="Times New Roman"/>
          <w:bCs/>
          <w:sz w:val="24"/>
          <w:szCs w:val="24"/>
        </w:rPr>
        <w:t xml:space="preserve">has stimulated </w:t>
      </w:r>
      <w:r w:rsidR="00782F97">
        <w:rPr>
          <w:rFonts w:ascii="Times New Roman" w:hAnsi="Times New Roman" w:cs="Times New Roman"/>
          <w:bCs/>
          <w:sz w:val="24"/>
          <w:szCs w:val="24"/>
        </w:rPr>
        <w:t>greater</w:t>
      </w:r>
      <w:r w:rsidR="00782F97" w:rsidRPr="00413E1D">
        <w:rPr>
          <w:rFonts w:ascii="Times New Roman" w:hAnsi="Times New Roman" w:cs="Times New Roman"/>
          <w:bCs/>
          <w:sz w:val="24"/>
          <w:szCs w:val="24"/>
        </w:rPr>
        <w:t xml:space="preserve"> </w:t>
      </w:r>
      <w:r w:rsidR="00D660D2" w:rsidRPr="00413E1D">
        <w:rPr>
          <w:rFonts w:ascii="Times New Roman" w:hAnsi="Times New Roman" w:cs="Times New Roman"/>
          <w:bCs/>
          <w:sz w:val="24"/>
          <w:szCs w:val="24"/>
        </w:rPr>
        <w:t>consideration of processes and governance in markets</w:t>
      </w:r>
      <w:r w:rsidR="00190F62" w:rsidRPr="00413E1D">
        <w:rPr>
          <w:rFonts w:ascii="Times New Roman" w:hAnsi="Times New Roman" w:cs="Times New Roman"/>
          <w:bCs/>
          <w:sz w:val="24"/>
          <w:szCs w:val="24"/>
        </w:rPr>
        <w:t xml:space="preserve">, and </w:t>
      </w:r>
      <w:r w:rsidR="00D660D2" w:rsidRPr="00413E1D">
        <w:rPr>
          <w:rFonts w:ascii="Times New Roman" w:hAnsi="Times New Roman" w:cs="Times New Roman"/>
          <w:bCs/>
          <w:sz w:val="24"/>
          <w:szCs w:val="24"/>
        </w:rPr>
        <w:t>of the costs associated with</w:t>
      </w:r>
      <w:r w:rsidR="00190F62" w:rsidRPr="00413E1D">
        <w:rPr>
          <w:rFonts w:ascii="Times New Roman" w:hAnsi="Times New Roman" w:cs="Times New Roman"/>
          <w:bCs/>
          <w:sz w:val="24"/>
          <w:szCs w:val="24"/>
        </w:rPr>
        <w:t xml:space="preserve"> transactions</w:t>
      </w:r>
      <w:r w:rsidR="00782F97">
        <w:rPr>
          <w:rFonts w:ascii="Times New Roman" w:hAnsi="Times New Roman" w:cs="Times New Roman"/>
          <w:bCs/>
          <w:sz w:val="24"/>
          <w:szCs w:val="24"/>
        </w:rPr>
        <w:t xml:space="preserve"> between individuals and between and within organisations</w:t>
      </w:r>
      <w:r w:rsidR="00190F62" w:rsidRPr="00413E1D">
        <w:rPr>
          <w:rFonts w:ascii="Times New Roman" w:hAnsi="Times New Roman" w:cs="Times New Roman"/>
          <w:bCs/>
          <w:sz w:val="24"/>
          <w:szCs w:val="24"/>
        </w:rPr>
        <w:t>.</w:t>
      </w:r>
      <w:r w:rsidR="00FD66CF" w:rsidRPr="00413E1D">
        <w:rPr>
          <w:rFonts w:ascii="Times New Roman" w:hAnsi="Times New Roman" w:cs="Times New Roman"/>
          <w:bCs/>
          <w:sz w:val="24"/>
          <w:szCs w:val="24"/>
        </w:rPr>
        <w:t xml:space="preserve"> M</w:t>
      </w:r>
      <w:r w:rsidR="00C04FBE" w:rsidRPr="00413E1D">
        <w:rPr>
          <w:rFonts w:ascii="Times New Roman" w:hAnsi="Times New Roman" w:cs="Times New Roman"/>
          <w:bCs/>
          <w:sz w:val="24"/>
          <w:szCs w:val="24"/>
        </w:rPr>
        <w:t>ore recently</w:t>
      </w:r>
      <w:r w:rsidR="00FD66CF" w:rsidRPr="00413E1D">
        <w:rPr>
          <w:rFonts w:ascii="Times New Roman" w:hAnsi="Times New Roman" w:cs="Times New Roman"/>
          <w:bCs/>
          <w:sz w:val="24"/>
          <w:szCs w:val="24"/>
        </w:rPr>
        <w:t xml:space="preserve">, </w:t>
      </w:r>
      <w:r w:rsidR="00A80556">
        <w:rPr>
          <w:rFonts w:ascii="Times New Roman" w:hAnsi="Times New Roman" w:cs="Times New Roman"/>
          <w:bCs/>
          <w:sz w:val="24"/>
          <w:szCs w:val="24"/>
        </w:rPr>
        <w:t>research</w:t>
      </w:r>
      <w:r w:rsidR="00FD66CF" w:rsidRPr="00413E1D">
        <w:rPr>
          <w:rFonts w:ascii="Times New Roman" w:hAnsi="Times New Roman" w:cs="Times New Roman"/>
          <w:bCs/>
          <w:sz w:val="24"/>
          <w:szCs w:val="24"/>
        </w:rPr>
        <w:t xml:space="preserve"> has developed </w:t>
      </w:r>
      <w:r w:rsidR="00092835">
        <w:rPr>
          <w:rFonts w:ascii="Times New Roman" w:hAnsi="Times New Roman" w:cs="Times New Roman"/>
          <w:bCs/>
          <w:sz w:val="24"/>
          <w:szCs w:val="24"/>
        </w:rPr>
        <w:t>around</w:t>
      </w:r>
      <w:r w:rsidR="00A80556">
        <w:rPr>
          <w:rFonts w:ascii="Times New Roman" w:hAnsi="Times New Roman" w:cs="Times New Roman"/>
          <w:bCs/>
          <w:sz w:val="24"/>
          <w:szCs w:val="24"/>
        </w:rPr>
        <w:t xml:space="preserve"> </w:t>
      </w:r>
      <w:r w:rsidR="00681CC0">
        <w:rPr>
          <w:rFonts w:ascii="Times New Roman" w:hAnsi="Times New Roman" w:cs="Times New Roman"/>
          <w:bCs/>
          <w:sz w:val="24"/>
          <w:szCs w:val="24"/>
        </w:rPr>
        <w:t>t</w:t>
      </w:r>
      <w:r w:rsidR="009A406D">
        <w:rPr>
          <w:rFonts w:ascii="Times New Roman" w:hAnsi="Times New Roman" w:cs="Times New Roman"/>
          <w:bCs/>
          <w:sz w:val="24"/>
          <w:szCs w:val="24"/>
        </w:rPr>
        <w:t>ransaction costs</w:t>
      </w:r>
      <w:r w:rsidR="00FD66CF" w:rsidRPr="00413E1D">
        <w:rPr>
          <w:rFonts w:ascii="Times New Roman" w:hAnsi="Times New Roman" w:cs="Times New Roman"/>
          <w:bCs/>
          <w:sz w:val="24"/>
          <w:szCs w:val="24"/>
        </w:rPr>
        <w:t xml:space="preserve"> in </w:t>
      </w:r>
      <w:r w:rsidR="009057F2">
        <w:rPr>
          <w:rFonts w:ascii="Times New Roman" w:hAnsi="Times New Roman" w:cs="Times New Roman"/>
          <w:bCs/>
          <w:sz w:val="24"/>
          <w:szCs w:val="24"/>
        </w:rPr>
        <w:t xml:space="preserve">rural </w:t>
      </w:r>
      <w:r w:rsidR="00FD66CF" w:rsidRPr="00413E1D">
        <w:rPr>
          <w:rFonts w:ascii="Times New Roman" w:hAnsi="Times New Roman" w:cs="Times New Roman"/>
          <w:bCs/>
          <w:sz w:val="24"/>
          <w:szCs w:val="24"/>
        </w:rPr>
        <w:t>polic</w:t>
      </w:r>
      <w:r w:rsidR="00155BDD">
        <w:rPr>
          <w:rFonts w:ascii="Times New Roman" w:hAnsi="Times New Roman" w:cs="Times New Roman"/>
          <w:bCs/>
          <w:sz w:val="24"/>
          <w:szCs w:val="24"/>
        </w:rPr>
        <w:t>ies</w:t>
      </w:r>
      <w:r w:rsidR="00643A57">
        <w:rPr>
          <w:rFonts w:ascii="Times New Roman" w:hAnsi="Times New Roman" w:cs="Times New Roman"/>
          <w:bCs/>
          <w:sz w:val="24"/>
          <w:szCs w:val="24"/>
        </w:rPr>
        <w:t>,</w:t>
      </w:r>
      <w:r w:rsidR="00155BDD">
        <w:rPr>
          <w:rFonts w:ascii="Times New Roman" w:hAnsi="Times New Roman" w:cs="Times New Roman"/>
          <w:bCs/>
          <w:sz w:val="24"/>
          <w:szCs w:val="24"/>
        </w:rPr>
        <w:t xml:space="preserve"> </w:t>
      </w:r>
      <w:r w:rsidR="00643A57">
        <w:rPr>
          <w:rFonts w:ascii="Times New Roman" w:hAnsi="Times New Roman" w:cs="Times New Roman"/>
          <w:bCs/>
          <w:sz w:val="24"/>
          <w:szCs w:val="24"/>
        </w:rPr>
        <w:t>where</w:t>
      </w:r>
      <w:r w:rsidR="00A80556" w:rsidRPr="00413E1D">
        <w:rPr>
          <w:rFonts w:ascii="Times New Roman" w:hAnsi="Times New Roman" w:cs="Times New Roman"/>
          <w:bCs/>
          <w:sz w:val="24"/>
          <w:szCs w:val="24"/>
        </w:rPr>
        <w:t xml:space="preserve"> </w:t>
      </w:r>
      <w:r w:rsidR="00FD66CF" w:rsidRPr="00413E1D">
        <w:rPr>
          <w:rFonts w:ascii="Times New Roman" w:hAnsi="Times New Roman" w:cs="Times New Roman"/>
          <w:bCs/>
          <w:sz w:val="24"/>
          <w:szCs w:val="24"/>
        </w:rPr>
        <w:t xml:space="preserve">policy makers seek to influence </w:t>
      </w:r>
      <w:r w:rsidR="00092835">
        <w:rPr>
          <w:rFonts w:ascii="Times New Roman" w:hAnsi="Times New Roman" w:cs="Times New Roman"/>
          <w:bCs/>
          <w:sz w:val="24"/>
          <w:szCs w:val="24"/>
        </w:rPr>
        <w:t>behaviour</w:t>
      </w:r>
      <w:r w:rsidR="00FD66CF" w:rsidRPr="00413E1D">
        <w:rPr>
          <w:rFonts w:ascii="Times New Roman" w:hAnsi="Times New Roman" w:cs="Times New Roman"/>
          <w:bCs/>
          <w:sz w:val="24"/>
          <w:szCs w:val="24"/>
        </w:rPr>
        <w:t xml:space="preserve"> </w:t>
      </w:r>
      <w:r w:rsidR="00782F97">
        <w:rPr>
          <w:rFonts w:ascii="Times New Roman" w:hAnsi="Times New Roman" w:cs="Times New Roman"/>
          <w:bCs/>
          <w:sz w:val="24"/>
          <w:szCs w:val="24"/>
        </w:rPr>
        <w:t>using</w:t>
      </w:r>
      <w:r w:rsidR="00782F97" w:rsidRPr="00413E1D">
        <w:rPr>
          <w:rFonts w:ascii="Times New Roman" w:hAnsi="Times New Roman" w:cs="Times New Roman"/>
          <w:bCs/>
          <w:sz w:val="24"/>
          <w:szCs w:val="24"/>
        </w:rPr>
        <w:t xml:space="preserve"> </w:t>
      </w:r>
      <w:r w:rsidR="00FD66CF" w:rsidRPr="00413E1D">
        <w:rPr>
          <w:rFonts w:ascii="Times New Roman" w:hAnsi="Times New Roman" w:cs="Times New Roman"/>
          <w:bCs/>
          <w:sz w:val="24"/>
          <w:szCs w:val="24"/>
        </w:rPr>
        <w:t>a variety of mechanisms including f</w:t>
      </w:r>
      <w:r w:rsidR="00E610C3">
        <w:rPr>
          <w:rFonts w:ascii="Times New Roman" w:hAnsi="Times New Roman" w:cs="Times New Roman"/>
          <w:bCs/>
          <w:sz w:val="24"/>
          <w:szCs w:val="24"/>
        </w:rPr>
        <w:t xml:space="preserve">inancial </w:t>
      </w:r>
      <w:r w:rsidR="00FD66CF" w:rsidRPr="00413E1D">
        <w:rPr>
          <w:rFonts w:ascii="Times New Roman" w:hAnsi="Times New Roman" w:cs="Times New Roman"/>
          <w:bCs/>
          <w:sz w:val="24"/>
          <w:szCs w:val="24"/>
        </w:rPr>
        <w:t>incentives (grants, taxes and subsidies)</w:t>
      </w:r>
      <w:r w:rsidR="00643A57">
        <w:rPr>
          <w:rFonts w:ascii="Times New Roman" w:hAnsi="Times New Roman" w:cs="Times New Roman"/>
          <w:bCs/>
          <w:sz w:val="24"/>
          <w:szCs w:val="24"/>
        </w:rPr>
        <w:t xml:space="preserve">, </w:t>
      </w:r>
      <w:r w:rsidR="00092835">
        <w:rPr>
          <w:rFonts w:ascii="Times New Roman" w:hAnsi="Times New Roman" w:cs="Times New Roman"/>
          <w:bCs/>
          <w:sz w:val="24"/>
          <w:szCs w:val="24"/>
        </w:rPr>
        <w:t>information</w:t>
      </w:r>
      <w:r w:rsidR="00643A57">
        <w:rPr>
          <w:rFonts w:ascii="Times New Roman" w:hAnsi="Times New Roman" w:cs="Times New Roman"/>
          <w:bCs/>
          <w:sz w:val="24"/>
          <w:szCs w:val="24"/>
        </w:rPr>
        <w:t>,</w:t>
      </w:r>
      <w:r w:rsidR="00092835">
        <w:rPr>
          <w:rFonts w:ascii="Times New Roman" w:hAnsi="Times New Roman" w:cs="Times New Roman"/>
          <w:bCs/>
          <w:sz w:val="24"/>
          <w:szCs w:val="24"/>
        </w:rPr>
        <w:t xml:space="preserve"> and advice. </w:t>
      </w:r>
      <w:r w:rsidR="00782F97">
        <w:rPr>
          <w:rFonts w:ascii="Times New Roman" w:hAnsi="Times New Roman" w:cs="Times New Roman"/>
          <w:bCs/>
          <w:sz w:val="24"/>
          <w:szCs w:val="24"/>
        </w:rPr>
        <w:t>This paper</w:t>
      </w:r>
      <w:r w:rsidR="00FD66CF" w:rsidRPr="00413E1D">
        <w:rPr>
          <w:rFonts w:ascii="Times New Roman" w:hAnsi="Times New Roman" w:cs="Times New Roman"/>
          <w:bCs/>
          <w:sz w:val="24"/>
          <w:szCs w:val="24"/>
        </w:rPr>
        <w:t xml:space="preserve"> explore</w:t>
      </w:r>
      <w:r w:rsidR="00782F97">
        <w:rPr>
          <w:rFonts w:ascii="Times New Roman" w:hAnsi="Times New Roman" w:cs="Times New Roman"/>
          <w:bCs/>
          <w:sz w:val="24"/>
          <w:szCs w:val="24"/>
        </w:rPr>
        <w:t>s</w:t>
      </w:r>
      <w:r w:rsidR="00FD66CF" w:rsidRPr="00413E1D">
        <w:rPr>
          <w:rFonts w:ascii="Times New Roman" w:hAnsi="Times New Roman" w:cs="Times New Roman"/>
          <w:bCs/>
          <w:sz w:val="24"/>
          <w:szCs w:val="24"/>
        </w:rPr>
        <w:t xml:space="preserve"> </w:t>
      </w:r>
      <w:r w:rsidR="00BC01D2">
        <w:rPr>
          <w:rFonts w:ascii="Times New Roman" w:hAnsi="Times New Roman" w:cs="Times New Roman"/>
          <w:bCs/>
          <w:sz w:val="24"/>
          <w:szCs w:val="24"/>
        </w:rPr>
        <w:t>the institutional and</w:t>
      </w:r>
      <w:r w:rsidR="00092835">
        <w:rPr>
          <w:rFonts w:ascii="Times New Roman" w:hAnsi="Times New Roman" w:cs="Times New Roman"/>
          <w:bCs/>
          <w:sz w:val="24"/>
          <w:szCs w:val="24"/>
        </w:rPr>
        <w:t xml:space="preserve"> transaction </w:t>
      </w:r>
      <w:r w:rsidR="00BC01D2">
        <w:rPr>
          <w:rFonts w:ascii="Times New Roman" w:hAnsi="Times New Roman" w:cs="Times New Roman"/>
          <w:bCs/>
          <w:sz w:val="24"/>
          <w:szCs w:val="24"/>
        </w:rPr>
        <w:t xml:space="preserve">effects </w:t>
      </w:r>
      <w:r w:rsidR="00FD66CF" w:rsidRPr="00413E1D">
        <w:rPr>
          <w:rFonts w:ascii="Times New Roman" w:hAnsi="Times New Roman" w:cs="Times New Roman"/>
          <w:bCs/>
          <w:sz w:val="24"/>
          <w:szCs w:val="24"/>
        </w:rPr>
        <w:t>in the programming and disbursement of significant sums of money under the Common Agricultural Policy’s second pillar: the Rural Development Programmes</w:t>
      </w:r>
      <w:r w:rsidR="003633B4" w:rsidRPr="00413E1D">
        <w:rPr>
          <w:rFonts w:ascii="Times New Roman" w:hAnsi="Times New Roman" w:cs="Times New Roman"/>
          <w:bCs/>
          <w:sz w:val="24"/>
          <w:szCs w:val="24"/>
        </w:rPr>
        <w:t xml:space="preserve"> (RDPs)</w:t>
      </w:r>
      <w:r w:rsidR="00FD66CF" w:rsidRPr="00413E1D">
        <w:rPr>
          <w:rFonts w:ascii="Times New Roman" w:hAnsi="Times New Roman" w:cs="Times New Roman"/>
          <w:bCs/>
          <w:sz w:val="24"/>
          <w:szCs w:val="24"/>
        </w:rPr>
        <w:t xml:space="preserve">. </w:t>
      </w:r>
      <w:r w:rsidR="00A75829">
        <w:rPr>
          <w:rFonts w:ascii="Times New Roman" w:hAnsi="Times New Roman" w:cs="Times New Roman"/>
          <w:bCs/>
          <w:sz w:val="24"/>
          <w:szCs w:val="24"/>
        </w:rPr>
        <w:t>The</w:t>
      </w:r>
      <w:r w:rsidR="00C54798">
        <w:rPr>
          <w:rFonts w:ascii="Times New Roman" w:hAnsi="Times New Roman" w:cs="Times New Roman"/>
          <w:bCs/>
          <w:sz w:val="24"/>
          <w:szCs w:val="24"/>
        </w:rPr>
        <w:t xml:space="preserve"> </w:t>
      </w:r>
      <w:r w:rsidR="008D745F">
        <w:rPr>
          <w:rFonts w:ascii="Times New Roman" w:hAnsi="Times New Roman" w:cs="Times New Roman"/>
          <w:bCs/>
          <w:sz w:val="24"/>
          <w:szCs w:val="24"/>
        </w:rPr>
        <w:t>RDP</w:t>
      </w:r>
      <w:r w:rsidR="00032F19" w:rsidRPr="0066755B">
        <w:rPr>
          <w:rFonts w:ascii="Times New Roman" w:hAnsi="Times New Roman" w:cs="Times New Roman"/>
          <w:sz w:val="24"/>
          <w:szCs w:val="24"/>
        </w:rPr>
        <w:t xml:space="preserve">s have increased significantly in scale and scope since their </w:t>
      </w:r>
      <w:r w:rsidR="00032F19">
        <w:rPr>
          <w:rFonts w:ascii="Times New Roman" w:hAnsi="Times New Roman" w:cs="Times New Roman"/>
          <w:sz w:val="24"/>
          <w:szCs w:val="24"/>
        </w:rPr>
        <w:t xml:space="preserve">initial </w:t>
      </w:r>
      <w:r w:rsidR="00032F19" w:rsidRPr="0066755B">
        <w:rPr>
          <w:rFonts w:ascii="Times New Roman" w:hAnsi="Times New Roman" w:cs="Times New Roman"/>
          <w:sz w:val="24"/>
          <w:szCs w:val="24"/>
        </w:rPr>
        <w:t>constitution in 2000</w:t>
      </w:r>
      <w:r w:rsidR="00032F19">
        <w:rPr>
          <w:rFonts w:ascii="Times New Roman" w:hAnsi="Times New Roman" w:cs="Times New Roman"/>
          <w:sz w:val="24"/>
          <w:szCs w:val="24"/>
        </w:rPr>
        <w:t xml:space="preserve">, growing from €5.75bn </w:t>
      </w:r>
      <w:r w:rsidR="00782F97">
        <w:rPr>
          <w:rFonts w:ascii="Times New Roman" w:hAnsi="Times New Roman" w:cs="Times New Roman"/>
          <w:sz w:val="24"/>
          <w:szCs w:val="24"/>
        </w:rPr>
        <w:t xml:space="preserve">of </w:t>
      </w:r>
      <w:r w:rsidR="00032F19">
        <w:rPr>
          <w:rFonts w:ascii="Times New Roman" w:hAnsi="Times New Roman" w:cs="Times New Roman"/>
          <w:sz w:val="24"/>
          <w:szCs w:val="24"/>
        </w:rPr>
        <w:t>EU spend in 2001 (E</w:t>
      </w:r>
      <w:r w:rsidR="0089431A">
        <w:rPr>
          <w:rFonts w:ascii="Times New Roman" w:hAnsi="Times New Roman" w:cs="Times New Roman"/>
          <w:sz w:val="24"/>
          <w:szCs w:val="24"/>
        </w:rPr>
        <w:t xml:space="preserve">uropean </w:t>
      </w:r>
      <w:r w:rsidR="00032F19">
        <w:rPr>
          <w:rFonts w:ascii="Times New Roman" w:hAnsi="Times New Roman" w:cs="Times New Roman"/>
          <w:sz w:val="24"/>
          <w:szCs w:val="24"/>
        </w:rPr>
        <w:t>C</w:t>
      </w:r>
      <w:r w:rsidR="0089431A">
        <w:rPr>
          <w:rFonts w:ascii="Times New Roman" w:hAnsi="Times New Roman" w:cs="Times New Roman"/>
          <w:sz w:val="24"/>
          <w:szCs w:val="24"/>
        </w:rPr>
        <w:t>ommission</w:t>
      </w:r>
      <w:r w:rsidR="00032F19">
        <w:rPr>
          <w:rFonts w:ascii="Times New Roman" w:hAnsi="Times New Roman" w:cs="Times New Roman"/>
          <w:sz w:val="24"/>
          <w:szCs w:val="24"/>
        </w:rPr>
        <w:t xml:space="preserve">, 2007) to </w:t>
      </w:r>
      <w:r w:rsidR="00032F19" w:rsidRPr="005A7573">
        <w:rPr>
          <w:rFonts w:ascii="Times New Roman" w:hAnsi="Times New Roman" w:cs="Times New Roman"/>
          <w:sz w:val="24"/>
          <w:szCs w:val="24"/>
        </w:rPr>
        <w:t>€</w:t>
      </w:r>
      <w:r w:rsidR="00032F19">
        <w:rPr>
          <w:rFonts w:ascii="Times New Roman" w:hAnsi="Times New Roman" w:cs="Times New Roman"/>
          <w:sz w:val="24"/>
          <w:szCs w:val="24"/>
        </w:rPr>
        <w:t>14.5</w:t>
      </w:r>
      <w:r w:rsidR="00032F19" w:rsidRPr="005A7573">
        <w:rPr>
          <w:rFonts w:ascii="Times New Roman" w:hAnsi="Times New Roman" w:cs="Times New Roman"/>
          <w:sz w:val="24"/>
          <w:szCs w:val="24"/>
        </w:rPr>
        <w:t>bn</w:t>
      </w:r>
      <w:r w:rsidR="00032F19">
        <w:rPr>
          <w:rFonts w:ascii="Times New Roman" w:hAnsi="Times New Roman" w:cs="Times New Roman"/>
          <w:sz w:val="24"/>
          <w:szCs w:val="24"/>
        </w:rPr>
        <w:t xml:space="preserve"> in just over a decade (E</w:t>
      </w:r>
      <w:r w:rsidR="00C54798">
        <w:rPr>
          <w:rFonts w:ascii="Times New Roman" w:hAnsi="Times New Roman" w:cs="Times New Roman"/>
          <w:sz w:val="24"/>
          <w:szCs w:val="24"/>
        </w:rPr>
        <w:t xml:space="preserve">uropean </w:t>
      </w:r>
      <w:r w:rsidR="00032F19">
        <w:rPr>
          <w:rFonts w:ascii="Times New Roman" w:hAnsi="Times New Roman" w:cs="Times New Roman"/>
          <w:sz w:val="24"/>
          <w:szCs w:val="24"/>
        </w:rPr>
        <w:t>C</w:t>
      </w:r>
      <w:r w:rsidR="00C54798">
        <w:rPr>
          <w:rFonts w:ascii="Times New Roman" w:hAnsi="Times New Roman" w:cs="Times New Roman"/>
          <w:sz w:val="24"/>
          <w:szCs w:val="24"/>
        </w:rPr>
        <w:t>ommission</w:t>
      </w:r>
      <w:r w:rsidR="00032F19">
        <w:rPr>
          <w:rFonts w:ascii="Times New Roman" w:hAnsi="Times New Roman" w:cs="Times New Roman"/>
          <w:sz w:val="24"/>
          <w:szCs w:val="24"/>
        </w:rPr>
        <w:t>, 2012)</w:t>
      </w:r>
      <w:r w:rsidR="00155BDD">
        <w:rPr>
          <w:rFonts w:ascii="Times New Roman" w:hAnsi="Times New Roman" w:cs="Times New Roman"/>
          <w:sz w:val="24"/>
          <w:szCs w:val="24"/>
        </w:rPr>
        <w:t>, and now accounting for one-third of the total CAP budget</w:t>
      </w:r>
      <w:r w:rsidR="00032F19" w:rsidRPr="0066755B">
        <w:rPr>
          <w:rFonts w:ascii="Times New Roman" w:hAnsi="Times New Roman" w:cs="Times New Roman"/>
          <w:sz w:val="24"/>
          <w:szCs w:val="24"/>
        </w:rPr>
        <w:t>.</w:t>
      </w:r>
      <w:r w:rsidR="00032F19">
        <w:rPr>
          <w:rFonts w:ascii="Times New Roman" w:hAnsi="Times New Roman" w:cs="Times New Roman"/>
          <w:sz w:val="24"/>
          <w:szCs w:val="24"/>
        </w:rPr>
        <w:t xml:space="preserve">  </w:t>
      </w:r>
      <w:r w:rsidR="00782F97">
        <w:rPr>
          <w:rFonts w:ascii="Times New Roman" w:hAnsi="Times New Roman" w:cs="Times New Roman"/>
          <w:bCs/>
          <w:sz w:val="24"/>
          <w:szCs w:val="24"/>
        </w:rPr>
        <w:t>RDPs are</w:t>
      </w:r>
      <w:r w:rsidR="00782F97" w:rsidRPr="00413E1D">
        <w:rPr>
          <w:rFonts w:ascii="Times New Roman" w:hAnsi="Times New Roman" w:cs="Times New Roman"/>
          <w:bCs/>
          <w:sz w:val="24"/>
          <w:szCs w:val="24"/>
        </w:rPr>
        <w:t xml:space="preserve"> </w:t>
      </w:r>
      <w:r w:rsidR="00C04FBE" w:rsidRPr="00413E1D">
        <w:rPr>
          <w:rFonts w:ascii="Times New Roman" w:hAnsi="Times New Roman" w:cs="Times New Roman"/>
          <w:bCs/>
          <w:sz w:val="24"/>
          <w:szCs w:val="24"/>
        </w:rPr>
        <w:t>seven</w:t>
      </w:r>
      <w:r w:rsidR="00FD66CF" w:rsidRPr="00413E1D">
        <w:rPr>
          <w:rFonts w:ascii="Times New Roman" w:hAnsi="Times New Roman" w:cs="Times New Roman"/>
          <w:bCs/>
          <w:sz w:val="24"/>
          <w:szCs w:val="24"/>
        </w:rPr>
        <w:t>-year f</w:t>
      </w:r>
      <w:r w:rsidR="00092835">
        <w:rPr>
          <w:rFonts w:ascii="Times New Roman" w:hAnsi="Times New Roman" w:cs="Times New Roman"/>
          <w:bCs/>
          <w:sz w:val="24"/>
          <w:szCs w:val="24"/>
        </w:rPr>
        <w:t xml:space="preserve">unding programmes </w:t>
      </w:r>
      <w:r w:rsidR="00FD66CF" w:rsidRPr="00413E1D">
        <w:rPr>
          <w:rFonts w:ascii="Times New Roman" w:hAnsi="Times New Roman" w:cs="Times New Roman"/>
          <w:bCs/>
          <w:sz w:val="24"/>
          <w:szCs w:val="24"/>
        </w:rPr>
        <w:t>composed of suite</w:t>
      </w:r>
      <w:r w:rsidR="00782F97">
        <w:rPr>
          <w:rFonts w:ascii="Times New Roman" w:hAnsi="Times New Roman" w:cs="Times New Roman"/>
          <w:bCs/>
          <w:sz w:val="24"/>
          <w:szCs w:val="24"/>
        </w:rPr>
        <w:t>s</w:t>
      </w:r>
      <w:r w:rsidR="00FD66CF" w:rsidRPr="00413E1D">
        <w:rPr>
          <w:rFonts w:ascii="Times New Roman" w:hAnsi="Times New Roman" w:cs="Times New Roman"/>
          <w:bCs/>
          <w:sz w:val="24"/>
          <w:szCs w:val="24"/>
        </w:rPr>
        <w:t xml:space="preserve"> of different measures including investment aids, </w:t>
      </w:r>
      <w:r w:rsidR="003633B4" w:rsidRPr="00413E1D">
        <w:rPr>
          <w:rFonts w:ascii="Times New Roman" w:hAnsi="Times New Roman" w:cs="Times New Roman"/>
          <w:bCs/>
          <w:sz w:val="24"/>
          <w:szCs w:val="24"/>
        </w:rPr>
        <w:t xml:space="preserve">annual </w:t>
      </w:r>
      <w:r w:rsidR="00155BDD">
        <w:rPr>
          <w:rFonts w:ascii="Times New Roman" w:hAnsi="Times New Roman" w:cs="Times New Roman"/>
          <w:bCs/>
          <w:sz w:val="24"/>
          <w:szCs w:val="24"/>
        </w:rPr>
        <w:t>management</w:t>
      </w:r>
      <w:r w:rsidR="003633B4" w:rsidRPr="00413E1D">
        <w:rPr>
          <w:rFonts w:ascii="Times New Roman" w:hAnsi="Times New Roman" w:cs="Times New Roman"/>
          <w:bCs/>
          <w:sz w:val="24"/>
          <w:szCs w:val="24"/>
        </w:rPr>
        <w:t xml:space="preserve"> payments</w:t>
      </w:r>
      <w:r w:rsidR="00643A57">
        <w:rPr>
          <w:rFonts w:ascii="Times New Roman" w:hAnsi="Times New Roman" w:cs="Times New Roman"/>
          <w:bCs/>
          <w:sz w:val="24"/>
          <w:szCs w:val="24"/>
        </w:rPr>
        <w:t>,</w:t>
      </w:r>
      <w:r w:rsidR="003633B4" w:rsidRPr="00413E1D">
        <w:rPr>
          <w:rFonts w:ascii="Times New Roman" w:hAnsi="Times New Roman" w:cs="Times New Roman"/>
          <w:bCs/>
          <w:sz w:val="24"/>
          <w:szCs w:val="24"/>
        </w:rPr>
        <w:t xml:space="preserve"> and funding for planning, training and advice</w:t>
      </w:r>
      <w:r w:rsidR="00382775">
        <w:rPr>
          <w:rFonts w:ascii="Times New Roman" w:hAnsi="Times New Roman" w:cs="Times New Roman"/>
          <w:bCs/>
          <w:sz w:val="24"/>
          <w:szCs w:val="24"/>
        </w:rPr>
        <w:t xml:space="preserve"> (</w:t>
      </w:r>
      <w:r w:rsidR="006466B9">
        <w:rPr>
          <w:rFonts w:ascii="Times New Roman" w:hAnsi="Times New Roman" w:cs="Times New Roman"/>
          <w:bCs/>
          <w:sz w:val="24"/>
          <w:szCs w:val="24"/>
        </w:rPr>
        <w:t>E</w:t>
      </w:r>
      <w:r w:rsidR="00A82658">
        <w:rPr>
          <w:rFonts w:ascii="Times New Roman" w:hAnsi="Times New Roman" w:cs="Times New Roman"/>
          <w:bCs/>
          <w:sz w:val="24"/>
          <w:szCs w:val="24"/>
        </w:rPr>
        <w:t xml:space="preserve">uropean </w:t>
      </w:r>
      <w:r w:rsidR="006466B9">
        <w:rPr>
          <w:rFonts w:ascii="Times New Roman" w:hAnsi="Times New Roman" w:cs="Times New Roman"/>
          <w:bCs/>
          <w:sz w:val="24"/>
          <w:szCs w:val="24"/>
        </w:rPr>
        <w:t>C</w:t>
      </w:r>
      <w:r w:rsidR="00A82658">
        <w:rPr>
          <w:rFonts w:ascii="Times New Roman" w:hAnsi="Times New Roman" w:cs="Times New Roman"/>
          <w:bCs/>
          <w:sz w:val="24"/>
          <w:szCs w:val="24"/>
        </w:rPr>
        <w:t>ommission</w:t>
      </w:r>
      <w:r w:rsidR="006466B9">
        <w:rPr>
          <w:rFonts w:ascii="Times New Roman" w:hAnsi="Times New Roman" w:cs="Times New Roman"/>
          <w:bCs/>
          <w:sz w:val="24"/>
          <w:szCs w:val="24"/>
        </w:rPr>
        <w:t>, 2005</w:t>
      </w:r>
      <w:r w:rsidR="00413E1D">
        <w:rPr>
          <w:rFonts w:ascii="Times New Roman" w:hAnsi="Times New Roman" w:cs="Times New Roman"/>
          <w:bCs/>
          <w:sz w:val="24"/>
          <w:szCs w:val="24"/>
        </w:rPr>
        <w:t>)</w:t>
      </w:r>
      <w:r w:rsidR="003633B4" w:rsidRPr="00413E1D">
        <w:rPr>
          <w:rFonts w:ascii="Times New Roman" w:hAnsi="Times New Roman" w:cs="Times New Roman"/>
          <w:bCs/>
          <w:sz w:val="24"/>
          <w:szCs w:val="24"/>
        </w:rPr>
        <w:t>.</w:t>
      </w:r>
      <w:r w:rsidR="00CA5C9D">
        <w:rPr>
          <w:rFonts w:ascii="Times New Roman" w:hAnsi="Times New Roman" w:cs="Times New Roman"/>
          <w:bCs/>
          <w:sz w:val="24"/>
          <w:szCs w:val="24"/>
        </w:rPr>
        <w:t xml:space="preserve"> </w:t>
      </w:r>
      <w:r w:rsidR="00155BDD">
        <w:rPr>
          <w:rFonts w:ascii="Times New Roman" w:hAnsi="Times New Roman" w:cs="Times New Roman"/>
          <w:sz w:val="24"/>
          <w:szCs w:val="24"/>
        </w:rPr>
        <w:t>All</w:t>
      </w:r>
      <w:r w:rsidR="00CA5C9D" w:rsidRPr="0066755B">
        <w:rPr>
          <w:rFonts w:ascii="Times New Roman" w:hAnsi="Times New Roman" w:cs="Times New Roman"/>
          <w:sz w:val="24"/>
          <w:szCs w:val="24"/>
        </w:rPr>
        <w:t xml:space="preserve"> </w:t>
      </w:r>
      <w:r w:rsidR="003633B4" w:rsidRPr="00413E1D">
        <w:rPr>
          <w:rFonts w:ascii="Times New Roman" w:hAnsi="Times New Roman" w:cs="Times New Roman"/>
          <w:bCs/>
          <w:sz w:val="24"/>
          <w:szCs w:val="24"/>
        </w:rPr>
        <w:t xml:space="preserve">Member States are obliged to design and implement programmes tailored to their own specific </w:t>
      </w:r>
      <w:r w:rsidR="00782F97">
        <w:rPr>
          <w:rFonts w:ascii="Times New Roman" w:hAnsi="Times New Roman" w:cs="Times New Roman"/>
          <w:bCs/>
          <w:sz w:val="24"/>
          <w:szCs w:val="24"/>
        </w:rPr>
        <w:t xml:space="preserve">rural </w:t>
      </w:r>
      <w:r w:rsidR="003633B4" w:rsidRPr="00413E1D">
        <w:rPr>
          <w:rFonts w:ascii="Times New Roman" w:hAnsi="Times New Roman" w:cs="Times New Roman"/>
          <w:bCs/>
          <w:sz w:val="24"/>
          <w:szCs w:val="24"/>
        </w:rPr>
        <w:t xml:space="preserve">needs and opportunities, </w:t>
      </w:r>
      <w:r w:rsidR="00643A57">
        <w:rPr>
          <w:rFonts w:ascii="Times New Roman" w:hAnsi="Times New Roman" w:cs="Times New Roman"/>
          <w:bCs/>
          <w:sz w:val="24"/>
          <w:szCs w:val="24"/>
        </w:rPr>
        <w:t>while</w:t>
      </w:r>
      <w:r w:rsidR="00643A57" w:rsidRPr="00413E1D">
        <w:rPr>
          <w:rFonts w:ascii="Times New Roman" w:hAnsi="Times New Roman" w:cs="Times New Roman"/>
          <w:bCs/>
          <w:sz w:val="24"/>
          <w:szCs w:val="24"/>
        </w:rPr>
        <w:t xml:space="preserve"> </w:t>
      </w:r>
      <w:r w:rsidR="00700716">
        <w:rPr>
          <w:rFonts w:ascii="Times New Roman" w:hAnsi="Times New Roman" w:cs="Times New Roman"/>
          <w:bCs/>
          <w:sz w:val="24"/>
          <w:szCs w:val="24"/>
        </w:rPr>
        <w:t>pursuing</w:t>
      </w:r>
      <w:r w:rsidR="003633B4" w:rsidRPr="00413E1D">
        <w:rPr>
          <w:rFonts w:ascii="Times New Roman" w:hAnsi="Times New Roman" w:cs="Times New Roman"/>
          <w:bCs/>
          <w:sz w:val="24"/>
          <w:szCs w:val="24"/>
        </w:rPr>
        <w:t xml:space="preserve"> EU-level </w:t>
      </w:r>
      <w:r w:rsidR="00155BDD">
        <w:rPr>
          <w:rFonts w:ascii="Times New Roman" w:hAnsi="Times New Roman" w:cs="Times New Roman"/>
          <w:bCs/>
          <w:sz w:val="24"/>
          <w:szCs w:val="24"/>
        </w:rPr>
        <w:t>strategic priorities for agriculture and rural development</w:t>
      </w:r>
      <w:r w:rsidR="00643A57">
        <w:rPr>
          <w:rFonts w:ascii="Times New Roman" w:hAnsi="Times New Roman" w:cs="Times New Roman"/>
          <w:bCs/>
          <w:sz w:val="24"/>
          <w:szCs w:val="24"/>
        </w:rPr>
        <w:t xml:space="preserve"> that</w:t>
      </w:r>
      <w:r w:rsidR="00155BDD">
        <w:rPr>
          <w:rFonts w:ascii="Times New Roman" w:hAnsi="Times New Roman" w:cs="Times New Roman"/>
          <w:bCs/>
          <w:sz w:val="24"/>
          <w:szCs w:val="24"/>
        </w:rPr>
        <w:t xml:space="preserve"> embrac</w:t>
      </w:r>
      <w:r w:rsidR="00643A57">
        <w:rPr>
          <w:rFonts w:ascii="Times New Roman" w:hAnsi="Times New Roman" w:cs="Times New Roman"/>
          <w:bCs/>
          <w:sz w:val="24"/>
          <w:szCs w:val="24"/>
        </w:rPr>
        <w:t>e</w:t>
      </w:r>
      <w:r w:rsidR="00155BDD">
        <w:rPr>
          <w:rFonts w:ascii="Times New Roman" w:hAnsi="Times New Roman" w:cs="Times New Roman"/>
          <w:bCs/>
          <w:sz w:val="24"/>
          <w:szCs w:val="24"/>
        </w:rPr>
        <w:t xml:space="preserve"> economic, social and environmental goals</w:t>
      </w:r>
      <w:r w:rsidR="00700716">
        <w:rPr>
          <w:rFonts w:ascii="Times New Roman" w:hAnsi="Times New Roman" w:cs="Times New Roman"/>
          <w:bCs/>
          <w:sz w:val="24"/>
          <w:szCs w:val="24"/>
        </w:rPr>
        <w:t xml:space="preserve"> </w:t>
      </w:r>
      <w:r w:rsidR="00032F19">
        <w:rPr>
          <w:rFonts w:ascii="Times New Roman" w:hAnsi="Times New Roman" w:cs="Times New Roman"/>
          <w:sz w:val="24"/>
          <w:szCs w:val="24"/>
        </w:rPr>
        <w:t xml:space="preserve">(Dwyer </w:t>
      </w:r>
      <w:r w:rsidR="00032F19" w:rsidRPr="0042243B">
        <w:rPr>
          <w:rFonts w:ascii="Times New Roman" w:hAnsi="Times New Roman" w:cs="Times New Roman"/>
          <w:bCs/>
          <w:i/>
          <w:sz w:val="24"/>
          <w:szCs w:val="24"/>
        </w:rPr>
        <w:t>et al</w:t>
      </w:r>
      <w:r w:rsidR="00032F19">
        <w:rPr>
          <w:rFonts w:ascii="Times New Roman" w:hAnsi="Times New Roman" w:cs="Times New Roman"/>
          <w:bCs/>
          <w:i/>
          <w:sz w:val="24"/>
          <w:szCs w:val="24"/>
        </w:rPr>
        <w:t>.</w:t>
      </w:r>
      <w:r w:rsidR="00032F19" w:rsidRPr="0042243B">
        <w:rPr>
          <w:rFonts w:ascii="Times New Roman" w:hAnsi="Times New Roman" w:cs="Times New Roman"/>
          <w:bCs/>
          <w:i/>
          <w:sz w:val="24"/>
          <w:szCs w:val="24"/>
        </w:rPr>
        <w:t>,</w:t>
      </w:r>
      <w:r w:rsidR="00032F19">
        <w:rPr>
          <w:rFonts w:ascii="Times New Roman" w:hAnsi="Times New Roman" w:cs="Times New Roman"/>
          <w:bCs/>
          <w:sz w:val="24"/>
          <w:szCs w:val="24"/>
        </w:rPr>
        <w:t xml:space="preserve"> </w:t>
      </w:r>
      <w:r w:rsidR="00032F19">
        <w:rPr>
          <w:rFonts w:ascii="Times New Roman" w:hAnsi="Times New Roman" w:cs="Times New Roman"/>
          <w:sz w:val="24"/>
          <w:szCs w:val="24"/>
        </w:rPr>
        <w:t>2012a)</w:t>
      </w:r>
      <w:r w:rsidR="00032F19" w:rsidRPr="0066755B">
        <w:rPr>
          <w:rFonts w:ascii="Times New Roman" w:hAnsi="Times New Roman" w:cs="Times New Roman"/>
          <w:sz w:val="24"/>
          <w:szCs w:val="24"/>
        </w:rPr>
        <w:t>.</w:t>
      </w:r>
      <w:r w:rsidR="00092835">
        <w:rPr>
          <w:rFonts w:ascii="Times New Roman" w:hAnsi="Times New Roman" w:cs="Times New Roman"/>
          <w:bCs/>
          <w:sz w:val="24"/>
          <w:szCs w:val="24"/>
        </w:rPr>
        <w:t xml:space="preserve"> </w:t>
      </w:r>
      <w:r w:rsidR="00CD4504">
        <w:rPr>
          <w:rFonts w:ascii="Times New Roman" w:hAnsi="Times New Roman" w:cs="Times New Roman"/>
          <w:sz w:val="24"/>
          <w:szCs w:val="24"/>
        </w:rPr>
        <w:t xml:space="preserve">In the 2007-2013 period, common EU-level priorities were built into </w:t>
      </w:r>
      <w:r w:rsidR="00FA2E61">
        <w:rPr>
          <w:rFonts w:ascii="Times New Roman" w:hAnsi="Times New Roman" w:cs="Times New Roman"/>
          <w:sz w:val="24"/>
          <w:szCs w:val="24"/>
        </w:rPr>
        <w:t xml:space="preserve">three </w:t>
      </w:r>
      <w:r w:rsidR="006B7007">
        <w:rPr>
          <w:rFonts w:ascii="Times New Roman" w:hAnsi="Times New Roman" w:cs="Times New Roman"/>
          <w:sz w:val="24"/>
          <w:szCs w:val="24"/>
        </w:rPr>
        <w:t>different ‘A</w:t>
      </w:r>
      <w:r w:rsidR="00CD4504">
        <w:rPr>
          <w:rFonts w:ascii="Times New Roman" w:hAnsi="Times New Roman" w:cs="Times New Roman"/>
          <w:sz w:val="24"/>
          <w:szCs w:val="24"/>
        </w:rPr>
        <w:t>xes’ of each programme, with each axis pursuing a different goal (primary sector competitiveness, environmental protection and rural quality of life, respectively), using a suite of specific measures</w:t>
      </w:r>
      <w:r w:rsidR="00FA2E61">
        <w:rPr>
          <w:rStyle w:val="FootnoteReference"/>
          <w:rFonts w:ascii="Times New Roman" w:hAnsi="Times New Roman" w:cs="Times New Roman"/>
          <w:sz w:val="24"/>
          <w:szCs w:val="24"/>
        </w:rPr>
        <w:footnoteReference w:id="3"/>
      </w:r>
      <w:r w:rsidR="00CD4504">
        <w:rPr>
          <w:rFonts w:ascii="Times New Roman" w:hAnsi="Times New Roman" w:cs="Times New Roman"/>
          <w:sz w:val="24"/>
          <w:szCs w:val="24"/>
        </w:rPr>
        <w:t>. For 2014-2020, the axes have been replaced with six Strategic Priorities and each one can be pursued using a mix of measures</w:t>
      </w:r>
      <w:r>
        <w:rPr>
          <w:rFonts w:ascii="Times New Roman" w:hAnsi="Times New Roman" w:cs="Times New Roman"/>
          <w:sz w:val="24"/>
          <w:szCs w:val="24"/>
        </w:rPr>
        <w:t xml:space="preserve"> as selected by </w:t>
      </w:r>
      <w:r w:rsidR="00FA2E61">
        <w:rPr>
          <w:rFonts w:ascii="Times New Roman" w:hAnsi="Times New Roman" w:cs="Times New Roman"/>
          <w:sz w:val="24"/>
          <w:szCs w:val="24"/>
        </w:rPr>
        <w:t>Member States and/or their regions</w:t>
      </w:r>
      <w:r w:rsidR="00CD4504">
        <w:rPr>
          <w:rFonts w:ascii="Times New Roman" w:hAnsi="Times New Roman" w:cs="Times New Roman"/>
          <w:sz w:val="24"/>
          <w:szCs w:val="24"/>
        </w:rPr>
        <w:t>.</w:t>
      </w:r>
    </w:p>
    <w:p w:rsidR="00A572ED" w:rsidRDefault="00A572ED" w:rsidP="008D745F">
      <w:pPr>
        <w:spacing w:line="360" w:lineRule="auto"/>
        <w:jc w:val="both"/>
        <w:rPr>
          <w:rFonts w:ascii="Times New Roman" w:hAnsi="Times New Roman" w:cs="Times New Roman"/>
          <w:bCs/>
          <w:sz w:val="24"/>
          <w:szCs w:val="24"/>
        </w:rPr>
      </w:pPr>
    </w:p>
    <w:p w:rsidR="00ED432F" w:rsidRDefault="003633B4" w:rsidP="00A572ED">
      <w:pPr>
        <w:spacing w:line="360" w:lineRule="auto"/>
        <w:jc w:val="both"/>
        <w:rPr>
          <w:rFonts w:ascii="Times New Roman" w:hAnsi="Times New Roman" w:cs="Times New Roman"/>
          <w:bCs/>
          <w:sz w:val="24"/>
          <w:szCs w:val="24"/>
        </w:rPr>
      </w:pPr>
      <w:r w:rsidRPr="00413E1D">
        <w:rPr>
          <w:rFonts w:ascii="Times New Roman" w:hAnsi="Times New Roman" w:cs="Times New Roman"/>
          <w:bCs/>
          <w:sz w:val="24"/>
          <w:szCs w:val="24"/>
        </w:rPr>
        <w:lastRenderedPageBreak/>
        <w:t>Detailed empirical work to support RDP planning and implementation in Malta</w:t>
      </w:r>
      <w:r w:rsidR="00442673">
        <w:rPr>
          <w:rFonts w:ascii="Times New Roman" w:hAnsi="Times New Roman" w:cs="Times New Roman"/>
          <w:bCs/>
          <w:sz w:val="24"/>
          <w:szCs w:val="24"/>
        </w:rPr>
        <w:t xml:space="preserve"> (</w:t>
      </w:r>
      <w:r w:rsidR="00382775">
        <w:rPr>
          <w:rFonts w:ascii="Times New Roman" w:hAnsi="Times New Roman" w:cs="Times New Roman"/>
          <w:bCs/>
          <w:sz w:val="24"/>
          <w:szCs w:val="24"/>
        </w:rPr>
        <w:t xml:space="preserve">Dwyer </w:t>
      </w:r>
      <w:r w:rsidR="000107BF" w:rsidRPr="0042243B">
        <w:rPr>
          <w:rFonts w:ascii="Times New Roman" w:hAnsi="Times New Roman" w:cs="Times New Roman"/>
          <w:bCs/>
          <w:i/>
          <w:sz w:val="24"/>
          <w:szCs w:val="24"/>
        </w:rPr>
        <w:t>et al</w:t>
      </w:r>
      <w:r w:rsidR="000107BF">
        <w:rPr>
          <w:rFonts w:ascii="Times New Roman" w:hAnsi="Times New Roman" w:cs="Times New Roman"/>
          <w:bCs/>
          <w:i/>
          <w:sz w:val="24"/>
          <w:szCs w:val="24"/>
        </w:rPr>
        <w:t>.</w:t>
      </w:r>
      <w:r w:rsidR="000107BF" w:rsidRPr="0042243B">
        <w:rPr>
          <w:rFonts w:ascii="Times New Roman" w:hAnsi="Times New Roman" w:cs="Times New Roman"/>
          <w:bCs/>
          <w:i/>
          <w:sz w:val="24"/>
          <w:szCs w:val="24"/>
        </w:rPr>
        <w:t>,</w:t>
      </w:r>
      <w:r w:rsidR="000107BF">
        <w:rPr>
          <w:rFonts w:ascii="Times New Roman" w:hAnsi="Times New Roman" w:cs="Times New Roman"/>
          <w:bCs/>
          <w:sz w:val="24"/>
          <w:szCs w:val="24"/>
        </w:rPr>
        <w:t xml:space="preserve"> </w:t>
      </w:r>
      <w:r w:rsidR="00382775">
        <w:rPr>
          <w:rFonts w:ascii="Times New Roman" w:hAnsi="Times New Roman" w:cs="Times New Roman"/>
          <w:bCs/>
          <w:sz w:val="24"/>
          <w:szCs w:val="24"/>
        </w:rPr>
        <w:t>2012</w:t>
      </w:r>
      <w:r w:rsidR="000E1DCE">
        <w:rPr>
          <w:rFonts w:ascii="Times New Roman" w:hAnsi="Times New Roman" w:cs="Times New Roman"/>
          <w:bCs/>
          <w:sz w:val="24"/>
          <w:szCs w:val="24"/>
        </w:rPr>
        <w:t>b</w:t>
      </w:r>
      <w:r w:rsidR="00580B8A">
        <w:rPr>
          <w:rFonts w:ascii="Times New Roman" w:hAnsi="Times New Roman" w:cs="Times New Roman"/>
          <w:bCs/>
          <w:sz w:val="24"/>
          <w:szCs w:val="24"/>
        </w:rPr>
        <w:t xml:space="preserve">; Government of Malta, 2014), and evaluation of </w:t>
      </w:r>
      <w:r w:rsidR="00E271D3">
        <w:rPr>
          <w:rFonts w:ascii="Times New Roman" w:hAnsi="Times New Roman" w:cs="Times New Roman"/>
          <w:bCs/>
          <w:sz w:val="24"/>
          <w:szCs w:val="24"/>
        </w:rPr>
        <w:t>elements of the 2007-13 RDP for England</w:t>
      </w:r>
      <w:r w:rsidR="00284E45">
        <w:rPr>
          <w:rFonts w:ascii="Times New Roman" w:hAnsi="Times New Roman" w:cs="Times New Roman"/>
          <w:bCs/>
          <w:sz w:val="24"/>
          <w:szCs w:val="24"/>
        </w:rPr>
        <w:t>, UK</w:t>
      </w:r>
      <w:r w:rsidR="00E271D3">
        <w:rPr>
          <w:rFonts w:ascii="Times New Roman" w:hAnsi="Times New Roman" w:cs="Times New Roman"/>
          <w:bCs/>
          <w:sz w:val="24"/>
          <w:szCs w:val="24"/>
        </w:rPr>
        <w:t xml:space="preserve"> </w:t>
      </w:r>
      <w:r w:rsidR="00580B8A">
        <w:rPr>
          <w:rFonts w:ascii="Times New Roman" w:hAnsi="Times New Roman" w:cs="Times New Roman"/>
          <w:bCs/>
          <w:sz w:val="24"/>
          <w:szCs w:val="24"/>
        </w:rPr>
        <w:t xml:space="preserve">(Powell </w:t>
      </w:r>
      <w:r w:rsidR="000E1DCE">
        <w:rPr>
          <w:rFonts w:ascii="Times New Roman" w:hAnsi="Times New Roman" w:cs="Times New Roman"/>
          <w:bCs/>
          <w:sz w:val="24"/>
          <w:szCs w:val="24"/>
        </w:rPr>
        <w:t>and Courtney</w:t>
      </w:r>
      <w:r w:rsidR="00580B8A">
        <w:rPr>
          <w:rFonts w:ascii="Times New Roman" w:hAnsi="Times New Roman" w:cs="Times New Roman"/>
          <w:bCs/>
          <w:sz w:val="24"/>
          <w:szCs w:val="24"/>
        </w:rPr>
        <w:t xml:space="preserve">, 2013) </w:t>
      </w:r>
      <w:r w:rsidR="00284E45">
        <w:rPr>
          <w:rFonts w:ascii="Times New Roman" w:hAnsi="Times New Roman" w:cs="Times New Roman"/>
          <w:bCs/>
          <w:sz w:val="24"/>
          <w:szCs w:val="24"/>
        </w:rPr>
        <w:t xml:space="preserve">have </w:t>
      </w:r>
      <w:r w:rsidR="00E271D3">
        <w:rPr>
          <w:rFonts w:ascii="Times New Roman" w:hAnsi="Times New Roman" w:cs="Times New Roman"/>
          <w:bCs/>
          <w:sz w:val="24"/>
          <w:szCs w:val="24"/>
        </w:rPr>
        <w:t>provid</w:t>
      </w:r>
      <w:r w:rsidR="00CA5C9D">
        <w:rPr>
          <w:rFonts w:ascii="Times New Roman" w:hAnsi="Times New Roman" w:cs="Times New Roman"/>
          <w:bCs/>
          <w:sz w:val="24"/>
          <w:szCs w:val="24"/>
        </w:rPr>
        <w:t>e</w:t>
      </w:r>
      <w:r w:rsidR="00284E45">
        <w:rPr>
          <w:rFonts w:ascii="Times New Roman" w:hAnsi="Times New Roman" w:cs="Times New Roman"/>
          <w:bCs/>
          <w:sz w:val="24"/>
          <w:szCs w:val="24"/>
        </w:rPr>
        <w:t>d</w:t>
      </w:r>
      <w:r w:rsidRPr="00413E1D">
        <w:rPr>
          <w:rFonts w:ascii="Times New Roman" w:hAnsi="Times New Roman" w:cs="Times New Roman"/>
          <w:bCs/>
          <w:sz w:val="24"/>
          <w:szCs w:val="24"/>
        </w:rPr>
        <w:t xml:space="preserve"> insights into the</w:t>
      </w:r>
      <w:r w:rsidR="00E271D3">
        <w:rPr>
          <w:rFonts w:ascii="Times New Roman" w:hAnsi="Times New Roman" w:cs="Times New Roman"/>
          <w:bCs/>
          <w:sz w:val="24"/>
          <w:szCs w:val="24"/>
        </w:rPr>
        <w:t xml:space="preserve"> significance</w:t>
      </w:r>
      <w:r w:rsidR="00ED12CD">
        <w:rPr>
          <w:rFonts w:ascii="Times New Roman" w:hAnsi="Times New Roman" w:cs="Times New Roman"/>
          <w:bCs/>
          <w:sz w:val="24"/>
          <w:szCs w:val="24"/>
        </w:rPr>
        <w:t xml:space="preserve"> </w:t>
      </w:r>
      <w:r w:rsidR="00E271D3">
        <w:rPr>
          <w:rFonts w:ascii="Times New Roman" w:hAnsi="Times New Roman" w:cs="Times New Roman"/>
          <w:bCs/>
          <w:sz w:val="24"/>
          <w:szCs w:val="24"/>
        </w:rPr>
        <w:t xml:space="preserve">of </w:t>
      </w:r>
      <w:r w:rsidR="00BC01D2">
        <w:rPr>
          <w:rFonts w:ascii="Times New Roman" w:hAnsi="Times New Roman" w:cs="Times New Roman"/>
          <w:bCs/>
          <w:sz w:val="24"/>
          <w:szCs w:val="24"/>
        </w:rPr>
        <w:t>t</w:t>
      </w:r>
      <w:r w:rsidR="00155BDD">
        <w:rPr>
          <w:rFonts w:ascii="Times New Roman" w:hAnsi="Times New Roman" w:cs="Times New Roman"/>
          <w:bCs/>
          <w:sz w:val="24"/>
          <w:szCs w:val="24"/>
        </w:rPr>
        <w:t>ransaction processes and</w:t>
      </w:r>
      <w:r w:rsidR="00BC01D2">
        <w:rPr>
          <w:rFonts w:ascii="Times New Roman" w:hAnsi="Times New Roman" w:cs="Times New Roman"/>
          <w:bCs/>
          <w:sz w:val="24"/>
          <w:szCs w:val="24"/>
        </w:rPr>
        <w:t xml:space="preserve"> institutional economics</w:t>
      </w:r>
      <w:r w:rsidR="00E271D3">
        <w:rPr>
          <w:rFonts w:ascii="Times New Roman" w:hAnsi="Times New Roman" w:cs="Times New Roman"/>
          <w:bCs/>
          <w:sz w:val="24"/>
          <w:szCs w:val="24"/>
        </w:rPr>
        <w:t xml:space="preserve"> </w:t>
      </w:r>
      <w:r w:rsidR="00155BDD">
        <w:rPr>
          <w:rFonts w:ascii="Times New Roman" w:hAnsi="Times New Roman" w:cs="Times New Roman"/>
          <w:bCs/>
          <w:sz w:val="24"/>
          <w:szCs w:val="24"/>
        </w:rPr>
        <w:t>in</w:t>
      </w:r>
      <w:r w:rsidR="00E271D3">
        <w:rPr>
          <w:rFonts w:ascii="Times New Roman" w:hAnsi="Times New Roman" w:cs="Times New Roman"/>
          <w:bCs/>
          <w:sz w:val="24"/>
          <w:szCs w:val="24"/>
        </w:rPr>
        <w:t xml:space="preserve"> rural programme delivery </w:t>
      </w:r>
      <w:r w:rsidR="00580B8A">
        <w:rPr>
          <w:rFonts w:ascii="Times New Roman" w:hAnsi="Times New Roman" w:cs="Times New Roman"/>
          <w:bCs/>
          <w:sz w:val="24"/>
          <w:szCs w:val="24"/>
        </w:rPr>
        <w:t>in</w:t>
      </w:r>
      <w:r w:rsidR="00E271D3">
        <w:rPr>
          <w:rFonts w:ascii="Times New Roman" w:hAnsi="Times New Roman" w:cs="Times New Roman"/>
          <w:bCs/>
          <w:sz w:val="24"/>
          <w:szCs w:val="24"/>
        </w:rPr>
        <w:t xml:space="preserve"> </w:t>
      </w:r>
      <w:r w:rsidR="00782F97">
        <w:rPr>
          <w:rFonts w:ascii="Times New Roman" w:hAnsi="Times New Roman" w:cs="Times New Roman"/>
          <w:bCs/>
          <w:sz w:val="24"/>
          <w:szCs w:val="24"/>
        </w:rPr>
        <w:t xml:space="preserve">two very different </w:t>
      </w:r>
      <w:r w:rsidR="00E271D3">
        <w:rPr>
          <w:rFonts w:ascii="Times New Roman" w:hAnsi="Times New Roman" w:cs="Times New Roman"/>
          <w:bCs/>
          <w:sz w:val="24"/>
          <w:szCs w:val="24"/>
        </w:rPr>
        <w:t xml:space="preserve">EU </w:t>
      </w:r>
      <w:r w:rsidR="0089431A">
        <w:rPr>
          <w:rFonts w:ascii="Times New Roman" w:hAnsi="Times New Roman" w:cs="Times New Roman"/>
          <w:bCs/>
          <w:sz w:val="24"/>
          <w:szCs w:val="24"/>
        </w:rPr>
        <w:t>M</w:t>
      </w:r>
      <w:r w:rsidR="00E271D3">
        <w:rPr>
          <w:rFonts w:ascii="Times New Roman" w:hAnsi="Times New Roman" w:cs="Times New Roman"/>
          <w:bCs/>
          <w:sz w:val="24"/>
          <w:szCs w:val="24"/>
        </w:rPr>
        <w:t xml:space="preserve">ember </w:t>
      </w:r>
      <w:r w:rsidR="0089431A">
        <w:rPr>
          <w:rFonts w:ascii="Times New Roman" w:hAnsi="Times New Roman" w:cs="Times New Roman"/>
          <w:bCs/>
          <w:sz w:val="24"/>
          <w:szCs w:val="24"/>
        </w:rPr>
        <w:t>S</w:t>
      </w:r>
      <w:r w:rsidR="00E271D3">
        <w:rPr>
          <w:rFonts w:ascii="Times New Roman" w:hAnsi="Times New Roman" w:cs="Times New Roman"/>
          <w:bCs/>
          <w:sz w:val="24"/>
          <w:szCs w:val="24"/>
        </w:rPr>
        <w:t>tates</w:t>
      </w:r>
      <w:r w:rsidR="0089431A">
        <w:rPr>
          <w:rFonts w:ascii="Times New Roman" w:hAnsi="Times New Roman" w:cs="Times New Roman"/>
          <w:bCs/>
          <w:sz w:val="24"/>
          <w:szCs w:val="24"/>
        </w:rPr>
        <w:t xml:space="preserve"> (MS</w:t>
      </w:r>
      <w:r w:rsidR="00BC01D2">
        <w:rPr>
          <w:rFonts w:ascii="Times New Roman" w:hAnsi="Times New Roman" w:cs="Times New Roman"/>
          <w:bCs/>
          <w:sz w:val="24"/>
          <w:szCs w:val="24"/>
        </w:rPr>
        <w:t>)</w:t>
      </w:r>
      <w:r w:rsidRPr="00413E1D">
        <w:rPr>
          <w:rFonts w:ascii="Times New Roman" w:hAnsi="Times New Roman" w:cs="Times New Roman"/>
          <w:bCs/>
          <w:sz w:val="24"/>
          <w:szCs w:val="24"/>
        </w:rPr>
        <w:t xml:space="preserve">. </w:t>
      </w:r>
      <w:r w:rsidR="00BC01D2">
        <w:rPr>
          <w:rFonts w:ascii="Times New Roman" w:hAnsi="Times New Roman" w:cs="Times New Roman"/>
          <w:bCs/>
          <w:sz w:val="24"/>
          <w:szCs w:val="24"/>
        </w:rPr>
        <w:t xml:space="preserve">Using this experience, </w:t>
      </w:r>
      <w:r w:rsidR="00782F97">
        <w:rPr>
          <w:rFonts w:ascii="Times New Roman" w:hAnsi="Times New Roman" w:cs="Times New Roman"/>
          <w:bCs/>
          <w:sz w:val="24"/>
          <w:szCs w:val="24"/>
        </w:rPr>
        <w:t>the paper</w:t>
      </w:r>
      <w:r w:rsidR="00BC01D2">
        <w:rPr>
          <w:rFonts w:ascii="Times New Roman" w:hAnsi="Times New Roman" w:cs="Times New Roman"/>
          <w:bCs/>
          <w:sz w:val="24"/>
          <w:szCs w:val="24"/>
        </w:rPr>
        <w:t xml:space="preserve"> examine</w:t>
      </w:r>
      <w:r w:rsidR="00782F97">
        <w:rPr>
          <w:rFonts w:ascii="Times New Roman" w:hAnsi="Times New Roman" w:cs="Times New Roman"/>
          <w:bCs/>
          <w:sz w:val="24"/>
          <w:szCs w:val="24"/>
        </w:rPr>
        <w:t>s</w:t>
      </w:r>
      <w:r w:rsidR="00BC01D2">
        <w:rPr>
          <w:rFonts w:ascii="Times New Roman" w:hAnsi="Times New Roman" w:cs="Times New Roman"/>
          <w:bCs/>
          <w:sz w:val="24"/>
          <w:szCs w:val="24"/>
        </w:rPr>
        <w:t xml:space="preserve"> the </w:t>
      </w:r>
      <w:r w:rsidR="00BC01D2" w:rsidRPr="00BC01D2">
        <w:rPr>
          <w:rFonts w:ascii="Times New Roman" w:hAnsi="Times New Roman" w:cs="Times New Roman"/>
          <w:sz w:val="24"/>
          <w:szCs w:val="24"/>
        </w:rPr>
        <w:t>organization</w:t>
      </w:r>
      <w:r w:rsidR="00BC01D2">
        <w:rPr>
          <w:rFonts w:ascii="Times New Roman" w:hAnsi="Times New Roman" w:cs="Times New Roman"/>
          <w:sz w:val="24"/>
          <w:szCs w:val="24"/>
        </w:rPr>
        <w:t>al</w:t>
      </w:r>
      <w:r w:rsidR="00BC01D2" w:rsidRPr="00B93C0B">
        <w:rPr>
          <w:rFonts w:ascii="Times New Roman" w:hAnsi="Times New Roman" w:cs="Times New Roman"/>
          <w:sz w:val="24"/>
          <w:szCs w:val="24"/>
        </w:rPr>
        <w:t xml:space="preserve"> </w:t>
      </w:r>
      <w:r w:rsidR="00BC01D2" w:rsidRPr="00BC01D2">
        <w:rPr>
          <w:rFonts w:ascii="Times New Roman" w:hAnsi="Times New Roman" w:cs="Times New Roman"/>
          <w:sz w:val="24"/>
          <w:szCs w:val="24"/>
        </w:rPr>
        <w:t>and institution</w:t>
      </w:r>
      <w:r w:rsidR="00BC01D2">
        <w:rPr>
          <w:rFonts w:ascii="Times New Roman" w:hAnsi="Times New Roman" w:cs="Times New Roman"/>
          <w:sz w:val="24"/>
          <w:szCs w:val="24"/>
        </w:rPr>
        <w:t>al</w:t>
      </w:r>
      <w:r w:rsidR="00BC01D2" w:rsidRPr="00B93C0B">
        <w:rPr>
          <w:rFonts w:ascii="Times New Roman" w:hAnsi="Times New Roman" w:cs="Times New Roman"/>
          <w:sz w:val="24"/>
          <w:szCs w:val="24"/>
        </w:rPr>
        <w:t xml:space="preserve"> </w:t>
      </w:r>
      <w:r w:rsidR="00092835">
        <w:rPr>
          <w:rFonts w:ascii="Times New Roman" w:hAnsi="Times New Roman" w:cs="Times New Roman"/>
          <w:bCs/>
          <w:sz w:val="24"/>
          <w:szCs w:val="24"/>
        </w:rPr>
        <w:t xml:space="preserve">nature of </w:t>
      </w:r>
      <w:r w:rsidR="00032F19">
        <w:rPr>
          <w:rFonts w:ascii="Times New Roman" w:hAnsi="Times New Roman" w:cs="Times New Roman"/>
          <w:bCs/>
          <w:sz w:val="24"/>
          <w:szCs w:val="24"/>
        </w:rPr>
        <w:t>RDP</w:t>
      </w:r>
      <w:r w:rsidR="00BC01D2">
        <w:rPr>
          <w:rFonts w:ascii="Times New Roman" w:hAnsi="Times New Roman" w:cs="Times New Roman"/>
          <w:bCs/>
          <w:sz w:val="24"/>
          <w:szCs w:val="24"/>
        </w:rPr>
        <w:t xml:space="preserve"> design and delivery</w:t>
      </w:r>
      <w:r w:rsidR="00DC42FB">
        <w:rPr>
          <w:rFonts w:ascii="Times New Roman" w:hAnsi="Times New Roman" w:cs="Times New Roman"/>
          <w:bCs/>
          <w:sz w:val="24"/>
          <w:szCs w:val="24"/>
        </w:rPr>
        <w:t xml:space="preserve">, </w:t>
      </w:r>
      <w:r w:rsidRPr="00413E1D">
        <w:rPr>
          <w:rFonts w:ascii="Times New Roman" w:hAnsi="Times New Roman" w:cs="Times New Roman"/>
          <w:bCs/>
          <w:sz w:val="24"/>
          <w:szCs w:val="24"/>
        </w:rPr>
        <w:t xml:space="preserve">and </w:t>
      </w:r>
      <w:r w:rsidR="00092835">
        <w:rPr>
          <w:rFonts w:ascii="Times New Roman" w:hAnsi="Times New Roman" w:cs="Times New Roman"/>
          <w:bCs/>
          <w:sz w:val="24"/>
          <w:szCs w:val="24"/>
        </w:rPr>
        <w:t>explor</w:t>
      </w:r>
      <w:r w:rsidR="00CA5C9D">
        <w:rPr>
          <w:rFonts w:ascii="Times New Roman" w:hAnsi="Times New Roman" w:cs="Times New Roman"/>
          <w:bCs/>
          <w:sz w:val="24"/>
          <w:szCs w:val="24"/>
        </w:rPr>
        <w:t>e</w:t>
      </w:r>
      <w:r w:rsidR="00351551">
        <w:rPr>
          <w:rFonts w:ascii="Times New Roman" w:hAnsi="Times New Roman" w:cs="Times New Roman"/>
          <w:bCs/>
          <w:sz w:val="24"/>
          <w:szCs w:val="24"/>
        </w:rPr>
        <w:t>s</w:t>
      </w:r>
      <w:r w:rsidR="00092835">
        <w:rPr>
          <w:rFonts w:ascii="Times New Roman" w:hAnsi="Times New Roman" w:cs="Times New Roman"/>
          <w:bCs/>
          <w:sz w:val="24"/>
          <w:szCs w:val="24"/>
        </w:rPr>
        <w:t xml:space="preserve"> the potential for improving</w:t>
      </w:r>
      <w:r w:rsidRPr="00413E1D">
        <w:rPr>
          <w:rFonts w:ascii="Times New Roman" w:hAnsi="Times New Roman" w:cs="Times New Roman"/>
          <w:bCs/>
          <w:sz w:val="24"/>
          <w:szCs w:val="24"/>
        </w:rPr>
        <w:t xml:space="preserve"> RDP </w:t>
      </w:r>
      <w:r w:rsidR="00EC3619" w:rsidRPr="00413E1D">
        <w:rPr>
          <w:rFonts w:ascii="Times New Roman" w:hAnsi="Times New Roman" w:cs="Times New Roman"/>
          <w:bCs/>
          <w:sz w:val="24"/>
          <w:szCs w:val="24"/>
        </w:rPr>
        <w:t>performance</w:t>
      </w:r>
      <w:r w:rsidR="001C2A24">
        <w:rPr>
          <w:rFonts w:ascii="Times New Roman" w:hAnsi="Times New Roman" w:cs="Times New Roman"/>
          <w:bCs/>
          <w:sz w:val="24"/>
          <w:szCs w:val="24"/>
        </w:rPr>
        <w:t xml:space="preserve"> through a more explicit </w:t>
      </w:r>
      <w:r w:rsidR="00032F19">
        <w:rPr>
          <w:rFonts w:ascii="Times New Roman" w:hAnsi="Times New Roman" w:cs="Times New Roman"/>
          <w:bCs/>
          <w:sz w:val="24"/>
          <w:szCs w:val="24"/>
        </w:rPr>
        <w:t xml:space="preserve">recognition </w:t>
      </w:r>
      <w:r w:rsidR="006B7007">
        <w:rPr>
          <w:rFonts w:ascii="Times New Roman" w:hAnsi="Times New Roman" w:cs="Times New Roman"/>
          <w:bCs/>
          <w:sz w:val="24"/>
          <w:szCs w:val="24"/>
        </w:rPr>
        <w:t>of transaction</w:t>
      </w:r>
      <w:r w:rsidR="001C2A24">
        <w:rPr>
          <w:rFonts w:ascii="Times New Roman" w:hAnsi="Times New Roman" w:cs="Times New Roman"/>
          <w:bCs/>
          <w:sz w:val="24"/>
          <w:szCs w:val="24"/>
        </w:rPr>
        <w:t xml:space="preserve"> </w:t>
      </w:r>
      <w:r w:rsidR="00155BDD">
        <w:rPr>
          <w:rFonts w:ascii="Times New Roman" w:hAnsi="Times New Roman" w:cs="Times New Roman"/>
          <w:bCs/>
          <w:sz w:val="24"/>
          <w:szCs w:val="24"/>
        </w:rPr>
        <w:t>processes</w:t>
      </w:r>
      <w:r w:rsidRPr="00413E1D">
        <w:rPr>
          <w:rFonts w:ascii="Times New Roman" w:hAnsi="Times New Roman" w:cs="Times New Roman"/>
          <w:bCs/>
          <w:sz w:val="24"/>
          <w:szCs w:val="24"/>
        </w:rPr>
        <w:t>.</w:t>
      </w:r>
      <w:r w:rsidR="00BC01D2">
        <w:rPr>
          <w:rStyle w:val="FootnoteReference"/>
          <w:rFonts w:ascii="Times New Roman" w:hAnsi="Times New Roman" w:cs="Times New Roman"/>
          <w:bCs/>
          <w:sz w:val="24"/>
          <w:szCs w:val="24"/>
        </w:rPr>
        <w:footnoteReference w:id="4"/>
      </w:r>
      <w:r w:rsidR="00A572ED">
        <w:rPr>
          <w:rFonts w:ascii="Times New Roman" w:hAnsi="Times New Roman" w:cs="Times New Roman"/>
          <w:bCs/>
          <w:sz w:val="24"/>
          <w:szCs w:val="24"/>
        </w:rPr>
        <w:t xml:space="preserve"> </w:t>
      </w:r>
      <w:r w:rsidR="00155BDD">
        <w:rPr>
          <w:rFonts w:ascii="Times New Roman" w:hAnsi="Times New Roman" w:cs="Times New Roman"/>
          <w:bCs/>
          <w:sz w:val="24"/>
          <w:szCs w:val="24"/>
        </w:rPr>
        <w:t>The</w:t>
      </w:r>
      <w:r w:rsidRPr="00413E1D">
        <w:rPr>
          <w:rFonts w:ascii="Times New Roman" w:hAnsi="Times New Roman" w:cs="Times New Roman"/>
          <w:bCs/>
          <w:sz w:val="24"/>
          <w:szCs w:val="24"/>
        </w:rPr>
        <w:t xml:space="preserve"> paper is</w:t>
      </w:r>
      <w:r w:rsidR="00E22D2A">
        <w:rPr>
          <w:rFonts w:ascii="Times New Roman" w:hAnsi="Times New Roman" w:cs="Times New Roman"/>
          <w:bCs/>
          <w:sz w:val="24"/>
          <w:szCs w:val="24"/>
        </w:rPr>
        <w:t xml:space="preserve"> structured as follows</w:t>
      </w:r>
      <w:r w:rsidRPr="00413E1D">
        <w:rPr>
          <w:rFonts w:ascii="Times New Roman" w:hAnsi="Times New Roman" w:cs="Times New Roman"/>
          <w:bCs/>
          <w:sz w:val="24"/>
          <w:szCs w:val="24"/>
        </w:rPr>
        <w:t xml:space="preserve">. </w:t>
      </w:r>
      <w:r w:rsidR="00255053" w:rsidRPr="00413E1D">
        <w:rPr>
          <w:rFonts w:ascii="Times New Roman" w:hAnsi="Times New Roman" w:cs="Times New Roman"/>
          <w:bCs/>
          <w:sz w:val="24"/>
          <w:szCs w:val="24"/>
        </w:rPr>
        <w:t xml:space="preserve"> </w:t>
      </w:r>
      <w:r w:rsidRPr="00413E1D">
        <w:rPr>
          <w:rFonts w:ascii="Times New Roman" w:hAnsi="Times New Roman" w:cs="Times New Roman"/>
          <w:bCs/>
          <w:sz w:val="24"/>
          <w:szCs w:val="24"/>
        </w:rPr>
        <w:t xml:space="preserve">Section 2 </w:t>
      </w:r>
      <w:r w:rsidR="00CA5C9D">
        <w:rPr>
          <w:rFonts w:ascii="Times New Roman" w:hAnsi="Times New Roman" w:cs="Times New Roman"/>
          <w:bCs/>
          <w:sz w:val="24"/>
          <w:szCs w:val="24"/>
        </w:rPr>
        <w:t>reviews</w:t>
      </w:r>
      <w:r w:rsidR="00CA5C9D" w:rsidRPr="00413E1D">
        <w:rPr>
          <w:rFonts w:ascii="Times New Roman" w:hAnsi="Times New Roman" w:cs="Times New Roman"/>
          <w:bCs/>
          <w:sz w:val="24"/>
          <w:szCs w:val="24"/>
        </w:rPr>
        <w:t xml:space="preserve"> </w:t>
      </w:r>
      <w:r w:rsidRPr="00413E1D">
        <w:rPr>
          <w:rFonts w:ascii="Times New Roman" w:hAnsi="Times New Roman" w:cs="Times New Roman"/>
          <w:bCs/>
          <w:sz w:val="24"/>
          <w:szCs w:val="24"/>
        </w:rPr>
        <w:t xml:space="preserve">the concept </w:t>
      </w:r>
      <w:r w:rsidR="00C824E1" w:rsidRPr="00413E1D">
        <w:rPr>
          <w:rFonts w:ascii="Times New Roman" w:hAnsi="Times New Roman" w:cs="Times New Roman"/>
          <w:bCs/>
          <w:sz w:val="24"/>
          <w:szCs w:val="24"/>
        </w:rPr>
        <w:t xml:space="preserve">and theoretical treatment </w:t>
      </w:r>
      <w:r w:rsidRPr="00413E1D">
        <w:rPr>
          <w:rFonts w:ascii="Times New Roman" w:hAnsi="Times New Roman" w:cs="Times New Roman"/>
          <w:bCs/>
          <w:sz w:val="24"/>
          <w:szCs w:val="24"/>
        </w:rPr>
        <w:t xml:space="preserve">of </w:t>
      </w:r>
      <w:r w:rsidR="00681CC0">
        <w:rPr>
          <w:rFonts w:ascii="Times New Roman" w:hAnsi="Times New Roman" w:cs="Times New Roman"/>
          <w:bCs/>
          <w:sz w:val="24"/>
          <w:szCs w:val="24"/>
        </w:rPr>
        <w:t xml:space="preserve">transaction </w:t>
      </w:r>
      <w:r w:rsidR="009A406D">
        <w:rPr>
          <w:rFonts w:ascii="Times New Roman" w:hAnsi="Times New Roman" w:cs="Times New Roman"/>
          <w:bCs/>
          <w:sz w:val="24"/>
          <w:szCs w:val="24"/>
        </w:rPr>
        <w:t>costs</w:t>
      </w:r>
      <w:r w:rsidR="00EA7103">
        <w:rPr>
          <w:rFonts w:ascii="Times New Roman" w:hAnsi="Times New Roman" w:cs="Times New Roman"/>
          <w:bCs/>
          <w:sz w:val="24"/>
          <w:szCs w:val="24"/>
        </w:rPr>
        <w:t>,</w:t>
      </w:r>
      <w:r w:rsidRPr="00413E1D">
        <w:rPr>
          <w:rFonts w:ascii="Times New Roman" w:hAnsi="Times New Roman" w:cs="Times New Roman"/>
          <w:bCs/>
          <w:sz w:val="24"/>
          <w:szCs w:val="24"/>
        </w:rPr>
        <w:t xml:space="preserve"> </w:t>
      </w:r>
      <w:r w:rsidR="00E610C3">
        <w:rPr>
          <w:rFonts w:ascii="Times New Roman" w:hAnsi="Times New Roman" w:cs="Times New Roman"/>
          <w:bCs/>
          <w:sz w:val="24"/>
          <w:szCs w:val="24"/>
        </w:rPr>
        <w:t>including</w:t>
      </w:r>
      <w:r w:rsidR="00EA7103">
        <w:rPr>
          <w:rFonts w:ascii="Times New Roman" w:hAnsi="Times New Roman" w:cs="Times New Roman"/>
          <w:bCs/>
          <w:sz w:val="24"/>
          <w:szCs w:val="24"/>
        </w:rPr>
        <w:t xml:space="preserve"> </w:t>
      </w:r>
      <w:r w:rsidR="00284E45">
        <w:rPr>
          <w:rFonts w:ascii="Times New Roman" w:hAnsi="Times New Roman" w:cs="Times New Roman"/>
          <w:bCs/>
          <w:sz w:val="24"/>
          <w:szCs w:val="24"/>
        </w:rPr>
        <w:t>previous</w:t>
      </w:r>
      <w:r w:rsidR="00D72A25" w:rsidRPr="00413E1D">
        <w:rPr>
          <w:rFonts w:ascii="Times New Roman" w:hAnsi="Times New Roman" w:cs="Times New Roman"/>
          <w:bCs/>
          <w:sz w:val="24"/>
          <w:szCs w:val="24"/>
        </w:rPr>
        <w:t xml:space="preserve"> </w:t>
      </w:r>
      <w:r w:rsidR="00155BDD">
        <w:rPr>
          <w:rFonts w:ascii="Times New Roman" w:hAnsi="Times New Roman" w:cs="Times New Roman"/>
          <w:bCs/>
          <w:sz w:val="24"/>
          <w:szCs w:val="24"/>
        </w:rPr>
        <w:t>coverag</w:t>
      </w:r>
      <w:r w:rsidR="00580B8A">
        <w:rPr>
          <w:rFonts w:ascii="Times New Roman" w:hAnsi="Times New Roman" w:cs="Times New Roman"/>
          <w:bCs/>
          <w:sz w:val="24"/>
          <w:szCs w:val="24"/>
        </w:rPr>
        <w:t>e</w:t>
      </w:r>
      <w:r w:rsidR="00D72A25" w:rsidRPr="00413E1D">
        <w:rPr>
          <w:rFonts w:ascii="Times New Roman" w:hAnsi="Times New Roman" w:cs="Times New Roman"/>
          <w:bCs/>
          <w:sz w:val="24"/>
          <w:szCs w:val="24"/>
        </w:rPr>
        <w:t xml:space="preserve"> in </w:t>
      </w:r>
      <w:r w:rsidR="00580B8A">
        <w:rPr>
          <w:rFonts w:ascii="Times New Roman" w:hAnsi="Times New Roman" w:cs="Times New Roman"/>
          <w:bCs/>
          <w:sz w:val="24"/>
          <w:szCs w:val="24"/>
        </w:rPr>
        <w:t>analyses of</w:t>
      </w:r>
      <w:r w:rsidRPr="00413E1D">
        <w:rPr>
          <w:rFonts w:ascii="Times New Roman" w:hAnsi="Times New Roman" w:cs="Times New Roman"/>
          <w:bCs/>
          <w:sz w:val="24"/>
          <w:szCs w:val="24"/>
        </w:rPr>
        <w:t xml:space="preserve"> public policies for </w:t>
      </w:r>
      <w:r w:rsidR="00D72A25" w:rsidRPr="00413E1D">
        <w:rPr>
          <w:rFonts w:ascii="Times New Roman" w:hAnsi="Times New Roman" w:cs="Times New Roman"/>
          <w:bCs/>
          <w:sz w:val="24"/>
          <w:szCs w:val="24"/>
        </w:rPr>
        <w:t xml:space="preserve">rural </w:t>
      </w:r>
      <w:r w:rsidR="00E610C3">
        <w:rPr>
          <w:rFonts w:ascii="Times New Roman" w:hAnsi="Times New Roman" w:cs="Times New Roman"/>
          <w:bCs/>
          <w:sz w:val="24"/>
          <w:szCs w:val="24"/>
        </w:rPr>
        <w:t>development</w:t>
      </w:r>
      <w:r w:rsidRPr="00413E1D">
        <w:rPr>
          <w:rFonts w:ascii="Times New Roman" w:hAnsi="Times New Roman" w:cs="Times New Roman"/>
          <w:bCs/>
          <w:sz w:val="24"/>
          <w:szCs w:val="24"/>
        </w:rPr>
        <w:t>.</w:t>
      </w:r>
      <w:r w:rsidR="00ED432F" w:rsidRPr="00413E1D">
        <w:rPr>
          <w:rFonts w:ascii="Times New Roman" w:hAnsi="Times New Roman" w:cs="Times New Roman"/>
          <w:bCs/>
          <w:sz w:val="24"/>
          <w:szCs w:val="24"/>
        </w:rPr>
        <w:t xml:space="preserve"> Section 3 </w:t>
      </w:r>
      <w:r w:rsidR="00EA7103">
        <w:rPr>
          <w:rFonts w:ascii="Times New Roman" w:hAnsi="Times New Roman" w:cs="Times New Roman"/>
          <w:bCs/>
          <w:sz w:val="24"/>
          <w:szCs w:val="24"/>
        </w:rPr>
        <w:t xml:space="preserve">briefly </w:t>
      </w:r>
      <w:r w:rsidR="00155BDD">
        <w:rPr>
          <w:rFonts w:ascii="Times New Roman" w:hAnsi="Times New Roman" w:cs="Times New Roman"/>
          <w:bCs/>
          <w:sz w:val="24"/>
          <w:szCs w:val="24"/>
        </w:rPr>
        <w:t>describ</w:t>
      </w:r>
      <w:r w:rsidR="00CA5C9D">
        <w:rPr>
          <w:rFonts w:ascii="Times New Roman" w:hAnsi="Times New Roman" w:cs="Times New Roman"/>
          <w:bCs/>
          <w:sz w:val="24"/>
          <w:szCs w:val="24"/>
        </w:rPr>
        <w:t>es</w:t>
      </w:r>
      <w:r w:rsidR="00CA5C9D" w:rsidRPr="00413E1D">
        <w:rPr>
          <w:rFonts w:ascii="Times New Roman" w:hAnsi="Times New Roman" w:cs="Times New Roman"/>
          <w:bCs/>
          <w:sz w:val="24"/>
          <w:szCs w:val="24"/>
        </w:rPr>
        <w:t xml:space="preserve"> </w:t>
      </w:r>
      <w:r w:rsidR="00ED432F" w:rsidRPr="00413E1D">
        <w:rPr>
          <w:rFonts w:ascii="Times New Roman" w:hAnsi="Times New Roman" w:cs="Times New Roman"/>
          <w:bCs/>
          <w:sz w:val="24"/>
          <w:szCs w:val="24"/>
        </w:rPr>
        <w:t>RDP</w:t>
      </w:r>
      <w:r w:rsidR="00E610C3">
        <w:rPr>
          <w:rFonts w:ascii="Times New Roman" w:hAnsi="Times New Roman" w:cs="Times New Roman"/>
          <w:bCs/>
          <w:sz w:val="24"/>
          <w:szCs w:val="24"/>
        </w:rPr>
        <w:t>s</w:t>
      </w:r>
      <w:r w:rsidR="00CA5C9D">
        <w:rPr>
          <w:rFonts w:ascii="Times New Roman" w:hAnsi="Times New Roman" w:cs="Times New Roman"/>
          <w:bCs/>
          <w:sz w:val="24"/>
          <w:szCs w:val="24"/>
        </w:rPr>
        <w:t>,</w:t>
      </w:r>
      <w:r w:rsidR="00ED432F" w:rsidRPr="00413E1D">
        <w:rPr>
          <w:rFonts w:ascii="Times New Roman" w:hAnsi="Times New Roman" w:cs="Times New Roman"/>
          <w:bCs/>
          <w:sz w:val="24"/>
          <w:szCs w:val="24"/>
        </w:rPr>
        <w:t xml:space="preserve"> </w:t>
      </w:r>
      <w:r w:rsidR="00852AF5">
        <w:rPr>
          <w:rFonts w:ascii="Times New Roman" w:hAnsi="Times New Roman" w:cs="Times New Roman"/>
          <w:bCs/>
          <w:sz w:val="24"/>
          <w:szCs w:val="24"/>
        </w:rPr>
        <w:t>noting</w:t>
      </w:r>
      <w:r w:rsidR="00ED432F" w:rsidRPr="00413E1D">
        <w:rPr>
          <w:rFonts w:ascii="Times New Roman" w:hAnsi="Times New Roman" w:cs="Times New Roman"/>
          <w:bCs/>
          <w:sz w:val="24"/>
          <w:szCs w:val="24"/>
        </w:rPr>
        <w:t xml:space="preserve"> thei</w:t>
      </w:r>
      <w:r w:rsidR="00EA7103">
        <w:rPr>
          <w:rFonts w:ascii="Times New Roman" w:hAnsi="Times New Roman" w:cs="Times New Roman"/>
          <w:bCs/>
          <w:sz w:val="24"/>
          <w:szCs w:val="24"/>
        </w:rPr>
        <w:t xml:space="preserve">r </w:t>
      </w:r>
      <w:r w:rsidR="00155BDD">
        <w:rPr>
          <w:rFonts w:ascii="Times New Roman" w:hAnsi="Times New Roman" w:cs="Times New Roman"/>
          <w:bCs/>
          <w:sz w:val="24"/>
          <w:szCs w:val="24"/>
        </w:rPr>
        <w:t xml:space="preserve">increasing </w:t>
      </w:r>
      <w:r w:rsidR="00EA7103">
        <w:rPr>
          <w:rFonts w:ascii="Times New Roman" w:hAnsi="Times New Roman" w:cs="Times New Roman"/>
          <w:bCs/>
          <w:sz w:val="24"/>
          <w:szCs w:val="24"/>
        </w:rPr>
        <w:t>significance</w:t>
      </w:r>
      <w:r w:rsidR="00ED432F" w:rsidRPr="00413E1D">
        <w:rPr>
          <w:rFonts w:ascii="Times New Roman" w:hAnsi="Times New Roman" w:cs="Times New Roman"/>
          <w:bCs/>
          <w:sz w:val="24"/>
          <w:szCs w:val="24"/>
        </w:rPr>
        <w:t xml:space="preserve"> </w:t>
      </w:r>
      <w:r w:rsidR="00155BDD">
        <w:rPr>
          <w:rFonts w:ascii="Times New Roman" w:hAnsi="Times New Roman" w:cs="Times New Roman"/>
          <w:bCs/>
          <w:sz w:val="24"/>
          <w:szCs w:val="24"/>
        </w:rPr>
        <w:t>within</w:t>
      </w:r>
      <w:r w:rsidR="00ED432F" w:rsidRPr="00413E1D">
        <w:rPr>
          <w:rFonts w:ascii="Times New Roman" w:hAnsi="Times New Roman" w:cs="Times New Roman"/>
          <w:bCs/>
          <w:sz w:val="24"/>
          <w:szCs w:val="24"/>
        </w:rPr>
        <w:t xml:space="preserve"> the C</w:t>
      </w:r>
      <w:r w:rsidR="00EA7103">
        <w:rPr>
          <w:rFonts w:ascii="Times New Roman" w:hAnsi="Times New Roman" w:cs="Times New Roman"/>
          <w:bCs/>
          <w:sz w:val="24"/>
          <w:szCs w:val="24"/>
        </w:rPr>
        <w:t xml:space="preserve">ommon </w:t>
      </w:r>
      <w:r w:rsidR="00ED432F" w:rsidRPr="00413E1D">
        <w:rPr>
          <w:rFonts w:ascii="Times New Roman" w:hAnsi="Times New Roman" w:cs="Times New Roman"/>
          <w:bCs/>
          <w:sz w:val="24"/>
          <w:szCs w:val="24"/>
        </w:rPr>
        <w:t>A</w:t>
      </w:r>
      <w:r w:rsidR="00EA7103">
        <w:rPr>
          <w:rFonts w:ascii="Times New Roman" w:hAnsi="Times New Roman" w:cs="Times New Roman"/>
          <w:bCs/>
          <w:sz w:val="24"/>
          <w:szCs w:val="24"/>
        </w:rPr>
        <w:t xml:space="preserve">gricultural </w:t>
      </w:r>
      <w:r w:rsidR="00ED432F" w:rsidRPr="00413E1D">
        <w:rPr>
          <w:rFonts w:ascii="Times New Roman" w:hAnsi="Times New Roman" w:cs="Times New Roman"/>
          <w:bCs/>
          <w:sz w:val="24"/>
          <w:szCs w:val="24"/>
        </w:rPr>
        <w:t>P</w:t>
      </w:r>
      <w:r w:rsidR="00EA7103">
        <w:rPr>
          <w:rFonts w:ascii="Times New Roman" w:hAnsi="Times New Roman" w:cs="Times New Roman"/>
          <w:bCs/>
          <w:sz w:val="24"/>
          <w:szCs w:val="24"/>
        </w:rPr>
        <w:t xml:space="preserve">olicy and </w:t>
      </w:r>
      <w:r w:rsidR="00852AF5">
        <w:rPr>
          <w:rFonts w:ascii="Times New Roman" w:hAnsi="Times New Roman" w:cs="Times New Roman"/>
          <w:bCs/>
          <w:sz w:val="24"/>
          <w:szCs w:val="24"/>
        </w:rPr>
        <w:t>summarising</w:t>
      </w:r>
      <w:r w:rsidR="00EA7103">
        <w:rPr>
          <w:rFonts w:ascii="Times New Roman" w:hAnsi="Times New Roman" w:cs="Times New Roman"/>
          <w:bCs/>
          <w:sz w:val="24"/>
          <w:szCs w:val="24"/>
        </w:rPr>
        <w:t xml:space="preserve"> </w:t>
      </w:r>
      <w:r w:rsidR="00852AF5">
        <w:rPr>
          <w:rFonts w:ascii="Times New Roman" w:hAnsi="Times New Roman" w:cs="Times New Roman"/>
          <w:bCs/>
          <w:sz w:val="24"/>
          <w:szCs w:val="24"/>
        </w:rPr>
        <w:t xml:space="preserve">documented </w:t>
      </w:r>
      <w:r w:rsidR="00EA7103">
        <w:rPr>
          <w:rFonts w:ascii="Times New Roman" w:hAnsi="Times New Roman" w:cs="Times New Roman"/>
          <w:bCs/>
          <w:sz w:val="24"/>
          <w:szCs w:val="24"/>
        </w:rPr>
        <w:t>concern</w:t>
      </w:r>
      <w:r w:rsidR="00852AF5">
        <w:rPr>
          <w:rFonts w:ascii="Times New Roman" w:hAnsi="Times New Roman" w:cs="Times New Roman"/>
          <w:bCs/>
          <w:sz w:val="24"/>
          <w:szCs w:val="24"/>
        </w:rPr>
        <w:t>s about</w:t>
      </w:r>
      <w:r w:rsidR="00EA7103">
        <w:rPr>
          <w:rFonts w:ascii="Times New Roman" w:hAnsi="Times New Roman" w:cs="Times New Roman"/>
          <w:bCs/>
          <w:sz w:val="24"/>
          <w:szCs w:val="24"/>
        </w:rPr>
        <w:t xml:space="preserve"> their performance</w:t>
      </w:r>
      <w:r w:rsidR="00284E45">
        <w:rPr>
          <w:rFonts w:ascii="Times New Roman" w:hAnsi="Times New Roman" w:cs="Times New Roman"/>
          <w:bCs/>
          <w:sz w:val="24"/>
          <w:szCs w:val="24"/>
        </w:rPr>
        <w:t xml:space="preserve"> which can be linked to transaction effects</w:t>
      </w:r>
      <w:r w:rsidR="00ED432F" w:rsidRPr="00413E1D">
        <w:rPr>
          <w:rFonts w:ascii="Times New Roman" w:hAnsi="Times New Roman" w:cs="Times New Roman"/>
          <w:bCs/>
          <w:sz w:val="24"/>
          <w:szCs w:val="24"/>
        </w:rPr>
        <w:t>.</w:t>
      </w:r>
      <w:r w:rsidR="00255053" w:rsidRPr="00413E1D">
        <w:rPr>
          <w:rFonts w:ascii="Times New Roman" w:hAnsi="Times New Roman" w:cs="Times New Roman"/>
          <w:bCs/>
          <w:sz w:val="24"/>
          <w:szCs w:val="24"/>
        </w:rPr>
        <w:t xml:space="preserve"> </w:t>
      </w:r>
      <w:r w:rsidR="00DC42FB">
        <w:rPr>
          <w:rFonts w:ascii="Times New Roman" w:hAnsi="Times New Roman" w:cs="Times New Roman"/>
          <w:bCs/>
          <w:sz w:val="24"/>
          <w:szCs w:val="24"/>
        </w:rPr>
        <w:t xml:space="preserve"> </w:t>
      </w:r>
      <w:r w:rsidR="00A01721" w:rsidRPr="00413E1D">
        <w:rPr>
          <w:rFonts w:ascii="Times New Roman" w:hAnsi="Times New Roman" w:cs="Times New Roman"/>
          <w:bCs/>
          <w:sz w:val="24"/>
          <w:szCs w:val="24"/>
        </w:rPr>
        <w:t>S</w:t>
      </w:r>
      <w:r w:rsidR="00ED432F" w:rsidRPr="00413E1D">
        <w:rPr>
          <w:rFonts w:ascii="Times New Roman" w:hAnsi="Times New Roman" w:cs="Times New Roman"/>
          <w:bCs/>
          <w:sz w:val="24"/>
          <w:szCs w:val="24"/>
        </w:rPr>
        <w:t>ection 4</w:t>
      </w:r>
      <w:r w:rsidR="00DC42FB">
        <w:rPr>
          <w:rFonts w:ascii="Times New Roman" w:hAnsi="Times New Roman" w:cs="Times New Roman"/>
          <w:bCs/>
          <w:sz w:val="24"/>
          <w:szCs w:val="24"/>
        </w:rPr>
        <w:t xml:space="preserve"> </w:t>
      </w:r>
      <w:r w:rsidR="00852AF5">
        <w:rPr>
          <w:rFonts w:ascii="Times New Roman" w:hAnsi="Times New Roman" w:cs="Times New Roman"/>
          <w:bCs/>
          <w:sz w:val="24"/>
          <w:szCs w:val="24"/>
        </w:rPr>
        <w:t>explores</w:t>
      </w:r>
      <w:r w:rsidR="00CA5C9D" w:rsidRPr="00413E1D">
        <w:rPr>
          <w:rFonts w:ascii="Times New Roman" w:hAnsi="Times New Roman" w:cs="Times New Roman"/>
          <w:bCs/>
          <w:sz w:val="24"/>
          <w:szCs w:val="24"/>
        </w:rPr>
        <w:t xml:space="preserve"> </w:t>
      </w:r>
      <w:r w:rsidR="00852AF5">
        <w:rPr>
          <w:rFonts w:ascii="Times New Roman" w:hAnsi="Times New Roman" w:cs="Times New Roman"/>
          <w:bCs/>
          <w:sz w:val="24"/>
          <w:szCs w:val="24"/>
        </w:rPr>
        <w:t xml:space="preserve">evidence concerning </w:t>
      </w:r>
      <w:r w:rsidR="00CA5C9D">
        <w:rPr>
          <w:rFonts w:ascii="Times New Roman" w:hAnsi="Times New Roman" w:cs="Times New Roman"/>
          <w:bCs/>
          <w:sz w:val="24"/>
          <w:szCs w:val="24"/>
        </w:rPr>
        <w:t xml:space="preserve">transaction </w:t>
      </w:r>
      <w:r w:rsidR="00FC43C5">
        <w:rPr>
          <w:rFonts w:ascii="Times New Roman" w:hAnsi="Times New Roman" w:cs="Times New Roman"/>
          <w:bCs/>
          <w:sz w:val="24"/>
          <w:szCs w:val="24"/>
        </w:rPr>
        <w:t>processe</w:t>
      </w:r>
      <w:r w:rsidR="009A406D">
        <w:rPr>
          <w:rFonts w:ascii="Times New Roman" w:hAnsi="Times New Roman" w:cs="Times New Roman"/>
          <w:bCs/>
          <w:sz w:val="24"/>
          <w:szCs w:val="24"/>
        </w:rPr>
        <w:t>s</w:t>
      </w:r>
      <w:r w:rsidR="00FC43C5">
        <w:rPr>
          <w:rFonts w:ascii="Times New Roman" w:hAnsi="Times New Roman" w:cs="Times New Roman"/>
          <w:bCs/>
          <w:sz w:val="24"/>
          <w:szCs w:val="24"/>
        </w:rPr>
        <w:t xml:space="preserve"> and their costs and benefits</w:t>
      </w:r>
      <w:r w:rsidR="00ED432F" w:rsidRPr="00413E1D">
        <w:rPr>
          <w:rFonts w:ascii="Times New Roman" w:hAnsi="Times New Roman" w:cs="Times New Roman"/>
          <w:bCs/>
          <w:sz w:val="24"/>
          <w:szCs w:val="24"/>
        </w:rPr>
        <w:t xml:space="preserve"> </w:t>
      </w:r>
      <w:r w:rsidR="00CA5C9D">
        <w:rPr>
          <w:rFonts w:ascii="Times New Roman" w:hAnsi="Times New Roman" w:cs="Times New Roman"/>
          <w:bCs/>
          <w:sz w:val="24"/>
          <w:szCs w:val="24"/>
        </w:rPr>
        <w:t xml:space="preserve">in </w:t>
      </w:r>
      <w:r w:rsidR="00ED432F" w:rsidRPr="00413E1D">
        <w:rPr>
          <w:rFonts w:ascii="Times New Roman" w:hAnsi="Times New Roman" w:cs="Times New Roman"/>
          <w:bCs/>
          <w:sz w:val="24"/>
          <w:szCs w:val="24"/>
        </w:rPr>
        <w:t>RDP</w:t>
      </w:r>
      <w:r w:rsidR="00CA5C9D">
        <w:rPr>
          <w:rFonts w:ascii="Times New Roman" w:hAnsi="Times New Roman" w:cs="Times New Roman"/>
          <w:bCs/>
          <w:sz w:val="24"/>
          <w:szCs w:val="24"/>
        </w:rPr>
        <w:t xml:space="preserve"> </w:t>
      </w:r>
      <w:r w:rsidR="00852AF5">
        <w:rPr>
          <w:rFonts w:ascii="Times New Roman" w:hAnsi="Times New Roman" w:cs="Times New Roman"/>
          <w:bCs/>
          <w:sz w:val="24"/>
          <w:szCs w:val="24"/>
        </w:rPr>
        <w:t>case studies</w:t>
      </w:r>
      <w:r w:rsidR="00DC42FB">
        <w:rPr>
          <w:rFonts w:ascii="Times New Roman" w:hAnsi="Times New Roman" w:cs="Times New Roman"/>
          <w:bCs/>
          <w:sz w:val="24"/>
          <w:szCs w:val="24"/>
        </w:rPr>
        <w:t xml:space="preserve"> </w:t>
      </w:r>
      <w:r w:rsidR="003D47B8">
        <w:rPr>
          <w:rFonts w:ascii="Times New Roman" w:hAnsi="Times New Roman" w:cs="Times New Roman"/>
          <w:bCs/>
          <w:sz w:val="24"/>
          <w:szCs w:val="24"/>
        </w:rPr>
        <w:t>in</w:t>
      </w:r>
      <w:r w:rsidR="00DC42FB">
        <w:rPr>
          <w:rFonts w:ascii="Times New Roman" w:hAnsi="Times New Roman" w:cs="Times New Roman"/>
          <w:bCs/>
          <w:sz w:val="24"/>
          <w:szCs w:val="24"/>
        </w:rPr>
        <w:t xml:space="preserve"> England</w:t>
      </w:r>
      <w:r w:rsidR="00B13A96">
        <w:rPr>
          <w:rFonts w:ascii="Times New Roman" w:hAnsi="Times New Roman" w:cs="Times New Roman"/>
          <w:bCs/>
          <w:sz w:val="24"/>
          <w:szCs w:val="24"/>
        </w:rPr>
        <w:t xml:space="preserve"> and Malta</w:t>
      </w:r>
      <w:r w:rsidR="00ED432F" w:rsidRPr="00413E1D">
        <w:rPr>
          <w:rFonts w:ascii="Times New Roman" w:hAnsi="Times New Roman" w:cs="Times New Roman"/>
          <w:bCs/>
          <w:sz w:val="24"/>
          <w:szCs w:val="24"/>
        </w:rPr>
        <w:t xml:space="preserve">. </w:t>
      </w:r>
      <w:r w:rsidR="00DC42FB">
        <w:rPr>
          <w:rFonts w:ascii="Times New Roman" w:hAnsi="Times New Roman" w:cs="Times New Roman"/>
          <w:bCs/>
          <w:sz w:val="24"/>
          <w:szCs w:val="24"/>
        </w:rPr>
        <w:t>S</w:t>
      </w:r>
      <w:r w:rsidR="00EA7103">
        <w:rPr>
          <w:rFonts w:ascii="Times New Roman" w:hAnsi="Times New Roman" w:cs="Times New Roman"/>
          <w:bCs/>
          <w:sz w:val="24"/>
          <w:szCs w:val="24"/>
        </w:rPr>
        <w:t xml:space="preserve">ection </w:t>
      </w:r>
      <w:r w:rsidR="00852AF5">
        <w:rPr>
          <w:rFonts w:ascii="Times New Roman" w:hAnsi="Times New Roman" w:cs="Times New Roman"/>
          <w:bCs/>
          <w:sz w:val="24"/>
          <w:szCs w:val="24"/>
        </w:rPr>
        <w:t>5</w:t>
      </w:r>
      <w:r w:rsidR="00D660D2" w:rsidRPr="00413E1D">
        <w:rPr>
          <w:rFonts w:ascii="Times New Roman" w:hAnsi="Times New Roman" w:cs="Times New Roman"/>
          <w:bCs/>
          <w:sz w:val="24"/>
          <w:szCs w:val="24"/>
        </w:rPr>
        <w:t xml:space="preserve"> </w:t>
      </w:r>
      <w:r w:rsidR="00852AF5">
        <w:rPr>
          <w:rFonts w:ascii="Times New Roman" w:hAnsi="Times New Roman" w:cs="Times New Roman"/>
          <w:bCs/>
          <w:sz w:val="24"/>
          <w:szCs w:val="24"/>
        </w:rPr>
        <w:t>discusses how a stronger focus upon the explicit management of transactions could enhance RDP design and delivery, offering</w:t>
      </w:r>
      <w:r w:rsidR="00E610C3">
        <w:rPr>
          <w:rFonts w:ascii="Times New Roman" w:hAnsi="Times New Roman" w:cs="Times New Roman"/>
          <w:bCs/>
          <w:sz w:val="24"/>
          <w:szCs w:val="24"/>
        </w:rPr>
        <w:t xml:space="preserve"> the </w:t>
      </w:r>
      <w:r w:rsidR="00852AF5">
        <w:rPr>
          <w:rFonts w:ascii="Times New Roman" w:hAnsi="Times New Roman" w:cs="Times New Roman"/>
          <w:bCs/>
          <w:sz w:val="24"/>
          <w:szCs w:val="24"/>
        </w:rPr>
        <w:t>prospect</w:t>
      </w:r>
      <w:r w:rsidR="00EA7103">
        <w:rPr>
          <w:rFonts w:ascii="Times New Roman" w:hAnsi="Times New Roman" w:cs="Times New Roman"/>
          <w:bCs/>
          <w:sz w:val="24"/>
          <w:szCs w:val="24"/>
        </w:rPr>
        <w:t xml:space="preserve"> of </w:t>
      </w:r>
      <w:r w:rsidR="00852AF5">
        <w:rPr>
          <w:rFonts w:ascii="Times New Roman" w:hAnsi="Times New Roman" w:cs="Times New Roman"/>
          <w:bCs/>
          <w:sz w:val="24"/>
          <w:szCs w:val="24"/>
        </w:rPr>
        <w:t>enhanced</w:t>
      </w:r>
      <w:r w:rsidR="00DC42FB">
        <w:rPr>
          <w:rFonts w:ascii="Times New Roman" w:hAnsi="Times New Roman" w:cs="Times New Roman"/>
          <w:bCs/>
          <w:sz w:val="24"/>
          <w:szCs w:val="24"/>
        </w:rPr>
        <w:t xml:space="preserve"> </w:t>
      </w:r>
      <w:r w:rsidR="00852AF5">
        <w:rPr>
          <w:rFonts w:ascii="Times New Roman" w:hAnsi="Times New Roman" w:cs="Times New Roman"/>
          <w:bCs/>
          <w:sz w:val="24"/>
          <w:szCs w:val="24"/>
        </w:rPr>
        <w:t>EU</w:t>
      </w:r>
      <w:r w:rsidR="00DC42FB">
        <w:rPr>
          <w:rFonts w:ascii="Times New Roman" w:hAnsi="Times New Roman" w:cs="Times New Roman"/>
          <w:bCs/>
          <w:sz w:val="24"/>
          <w:szCs w:val="24"/>
        </w:rPr>
        <w:t xml:space="preserve"> rural</w:t>
      </w:r>
      <w:r w:rsidR="00D660D2" w:rsidRPr="00413E1D">
        <w:rPr>
          <w:rFonts w:ascii="Times New Roman" w:hAnsi="Times New Roman" w:cs="Times New Roman"/>
          <w:bCs/>
          <w:sz w:val="24"/>
          <w:szCs w:val="24"/>
        </w:rPr>
        <w:t xml:space="preserve"> policy.</w:t>
      </w:r>
    </w:p>
    <w:p w:rsidR="00032F19" w:rsidRPr="00413E1D" w:rsidRDefault="00032F19" w:rsidP="008D745F">
      <w:pPr>
        <w:spacing w:after="0" w:line="360" w:lineRule="auto"/>
        <w:jc w:val="both"/>
        <w:rPr>
          <w:rFonts w:ascii="Times New Roman" w:hAnsi="Times New Roman" w:cs="Times New Roman"/>
          <w:bCs/>
          <w:sz w:val="24"/>
          <w:szCs w:val="24"/>
        </w:rPr>
      </w:pPr>
    </w:p>
    <w:p w:rsidR="00AE782D" w:rsidRPr="00AF6AE0" w:rsidRDefault="00ED432F" w:rsidP="008D745F">
      <w:pPr>
        <w:pStyle w:val="Heading2"/>
        <w:numPr>
          <w:ilvl w:val="0"/>
          <w:numId w:val="10"/>
        </w:numPr>
        <w:spacing w:line="360" w:lineRule="auto"/>
        <w:ind w:left="426"/>
        <w:jc w:val="both"/>
        <w:rPr>
          <w:rFonts w:ascii="Times New Roman" w:hAnsi="Times New Roman" w:cs="Times New Roman"/>
          <w:sz w:val="24"/>
          <w:szCs w:val="24"/>
        </w:rPr>
      </w:pPr>
      <w:r w:rsidRPr="00413E1D">
        <w:rPr>
          <w:rFonts w:ascii="Times New Roman" w:hAnsi="Times New Roman" w:cs="Times New Roman"/>
          <w:sz w:val="24"/>
          <w:szCs w:val="24"/>
        </w:rPr>
        <w:t xml:space="preserve">Transaction costs </w:t>
      </w:r>
      <w:r w:rsidR="0089431A">
        <w:rPr>
          <w:rFonts w:ascii="Times New Roman" w:hAnsi="Times New Roman" w:cs="Times New Roman"/>
          <w:sz w:val="24"/>
          <w:szCs w:val="24"/>
        </w:rPr>
        <w:t>in</w:t>
      </w:r>
      <w:r w:rsidRPr="00413E1D">
        <w:rPr>
          <w:rFonts w:ascii="Times New Roman" w:hAnsi="Times New Roman" w:cs="Times New Roman"/>
          <w:sz w:val="24"/>
          <w:szCs w:val="24"/>
        </w:rPr>
        <w:t xml:space="preserve"> public policy for agriculture and rural areas</w:t>
      </w:r>
    </w:p>
    <w:p w:rsidR="00347EE2" w:rsidRPr="00413E1D" w:rsidRDefault="00255053" w:rsidP="008D745F">
      <w:pPr>
        <w:pStyle w:val="Heading3"/>
        <w:spacing w:line="360" w:lineRule="auto"/>
        <w:jc w:val="both"/>
        <w:rPr>
          <w:rFonts w:ascii="Times New Roman" w:hAnsi="Times New Roman" w:cs="Times New Roman"/>
          <w:sz w:val="24"/>
          <w:szCs w:val="24"/>
        </w:rPr>
      </w:pPr>
      <w:r w:rsidRPr="00413E1D">
        <w:rPr>
          <w:rFonts w:ascii="Times New Roman" w:hAnsi="Times New Roman" w:cs="Times New Roman"/>
          <w:sz w:val="24"/>
          <w:szCs w:val="24"/>
        </w:rPr>
        <w:t xml:space="preserve">2.1 The concept </w:t>
      </w:r>
    </w:p>
    <w:p w:rsidR="0054469A" w:rsidRDefault="00A1368B" w:rsidP="00326F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161C0">
        <w:rPr>
          <w:rFonts w:ascii="Times New Roman" w:hAnsi="Times New Roman" w:cs="Times New Roman"/>
          <w:sz w:val="24"/>
          <w:szCs w:val="24"/>
        </w:rPr>
        <w:t xml:space="preserve">concept </w:t>
      </w:r>
      <w:r w:rsidR="003D47B8">
        <w:rPr>
          <w:rFonts w:ascii="Times New Roman" w:hAnsi="Times New Roman" w:cs="Times New Roman"/>
          <w:sz w:val="24"/>
          <w:szCs w:val="24"/>
        </w:rPr>
        <w:t>of transaction costs</w:t>
      </w:r>
      <w:r w:rsidR="00D161C0">
        <w:rPr>
          <w:rFonts w:ascii="Times New Roman" w:hAnsi="Times New Roman" w:cs="Times New Roman"/>
          <w:sz w:val="24"/>
          <w:szCs w:val="24"/>
        </w:rPr>
        <w:t xml:space="preserve"> was </w:t>
      </w:r>
      <w:r w:rsidR="00B57254" w:rsidRPr="00413E1D">
        <w:rPr>
          <w:rFonts w:ascii="Times New Roman" w:hAnsi="Times New Roman" w:cs="Times New Roman"/>
          <w:sz w:val="24"/>
          <w:szCs w:val="24"/>
        </w:rPr>
        <w:t xml:space="preserve">developed in </w:t>
      </w:r>
      <w:r w:rsidR="00255053" w:rsidRPr="00413E1D">
        <w:rPr>
          <w:rFonts w:ascii="Times New Roman" w:hAnsi="Times New Roman" w:cs="Times New Roman"/>
          <w:sz w:val="24"/>
          <w:szCs w:val="24"/>
        </w:rPr>
        <w:t xml:space="preserve">the </w:t>
      </w:r>
      <w:r w:rsidR="00B57254" w:rsidRPr="00413E1D">
        <w:rPr>
          <w:rFonts w:ascii="Times New Roman" w:hAnsi="Times New Roman" w:cs="Times New Roman"/>
          <w:sz w:val="24"/>
          <w:szCs w:val="24"/>
        </w:rPr>
        <w:t>1930s</w:t>
      </w:r>
      <w:r w:rsidR="00D161C0">
        <w:rPr>
          <w:rFonts w:ascii="Times New Roman" w:hAnsi="Times New Roman" w:cs="Times New Roman"/>
          <w:sz w:val="24"/>
          <w:szCs w:val="24"/>
        </w:rPr>
        <w:t>,</w:t>
      </w:r>
      <w:r w:rsidR="00EC3619" w:rsidRPr="00413E1D">
        <w:rPr>
          <w:rFonts w:ascii="Times New Roman" w:hAnsi="Times New Roman" w:cs="Times New Roman"/>
          <w:sz w:val="24"/>
          <w:szCs w:val="24"/>
        </w:rPr>
        <w:t xml:space="preserve"> when Hicks</w:t>
      </w:r>
      <w:r w:rsidR="00255053" w:rsidRPr="00413E1D">
        <w:rPr>
          <w:rFonts w:ascii="Times New Roman" w:hAnsi="Times New Roman" w:cs="Times New Roman"/>
          <w:sz w:val="24"/>
          <w:szCs w:val="24"/>
        </w:rPr>
        <w:t xml:space="preserve"> and </w:t>
      </w:r>
      <w:r w:rsidR="005B1332" w:rsidRPr="00413E1D">
        <w:rPr>
          <w:rFonts w:ascii="Times New Roman" w:hAnsi="Times New Roman" w:cs="Times New Roman"/>
          <w:sz w:val="24"/>
          <w:szCs w:val="24"/>
        </w:rPr>
        <w:t>Coase</w:t>
      </w:r>
      <w:r w:rsidR="00255053" w:rsidRPr="00413E1D">
        <w:rPr>
          <w:rFonts w:ascii="Times New Roman" w:hAnsi="Times New Roman" w:cs="Times New Roman"/>
          <w:sz w:val="24"/>
          <w:szCs w:val="24"/>
        </w:rPr>
        <w:t xml:space="preserve"> explor</w:t>
      </w:r>
      <w:r w:rsidR="00A80556">
        <w:rPr>
          <w:rFonts w:ascii="Times New Roman" w:hAnsi="Times New Roman" w:cs="Times New Roman"/>
          <w:sz w:val="24"/>
          <w:szCs w:val="24"/>
        </w:rPr>
        <w:t>ed</w:t>
      </w:r>
      <w:r w:rsidR="00255053" w:rsidRPr="00413E1D">
        <w:rPr>
          <w:rFonts w:ascii="Times New Roman" w:hAnsi="Times New Roman" w:cs="Times New Roman"/>
          <w:sz w:val="24"/>
          <w:szCs w:val="24"/>
        </w:rPr>
        <w:t xml:space="preserve"> factors that influenced ‘efficient’ economic production</w:t>
      </w:r>
      <w:r w:rsidR="005B1332" w:rsidRPr="00413E1D">
        <w:rPr>
          <w:rFonts w:ascii="Times New Roman" w:hAnsi="Times New Roman" w:cs="Times New Roman"/>
          <w:sz w:val="24"/>
          <w:szCs w:val="24"/>
        </w:rPr>
        <w:t xml:space="preserve"> (Williamson, 1981)</w:t>
      </w:r>
      <w:r w:rsidR="00EC3619" w:rsidRPr="00413E1D">
        <w:rPr>
          <w:rFonts w:ascii="Times New Roman" w:hAnsi="Times New Roman" w:cs="Times New Roman"/>
          <w:sz w:val="24"/>
          <w:szCs w:val="24"/>
        </w:rPr>
        <w:t>.</w:t>
      </w:r>
      <w:r w:rsidR="001637F0">
        <w:rPr>
          <w:rFonts w:ascii="Times New Roman" w:hAnsi="Times New Roman" w:cs="Times New Roman"/>
          <w:sz w:val="24"/>
          <w:szCs w:val="24"/>
        </w:rPr>
        <w:t xml:space="preserve"> </w:t>
      </w:r>
      <w:r w:rsidR="00500F73">
        <w:rPr>
          <w:rFonts w:ascii="Times New Roman" w:hAnsi="Times New Roman" w:cs="Times New Roman"/>
          <w:sz w:val="24"/>
          <w:szCs w:val="24"/>
        </w:rPr>
        <w:t>T</w:t>
      </w:r>
      <w:r w:rsidR="00B57254" w:rsidRPr="00413E1D">
        <w:rPr>
          <w:rFonts w:ascii="Times New Roman" w:hAnsi="Times New Roman" w:cs="Times New Roman"/>
          <w:sz w:val="24"/>
          <w:szCs w:val="24"/>
        </w:rPr>
        <w:t xml:space="preserve">here </w:t>
      </w:r>
      <w:r w:rsidR="00500F73">
        <w:rPr>
          <w:rFonts w:ascii="Times New Roman" w:hAnsi="Times New Roman" w:cs="Times New Roman"/>
          <w:sz w:val="24"/>
          <w:szCs w:val="24"/>
        </w:rPr>
        <w:t>has been continual</w:t>
      </w:r>
      <w:r w:rsidR="00500F73" w:rsidRPr="00413E1D">
        <w:rPr>
          <w:rFonts w:ascii="Times New Roman" w:hAnsi="Times New Roman" w:cs="Times New Roman"/>
          <w:sz w:val="24"/>
          <w:szCs w:val="24"/>
        </w:rPr>
        <w:t xml:space="preserve"> </w:t>
      </w:r>
      <w:r w:rsidR="00B57254" w:rsidRPr="00413E1D">
        <w:rPr>
          <w:rFonts w:ascii="Times New Roman" w:hAnsi="Times New Roman" w:cs="Times New Roman"/>
          <w:sz w:val="24"/>
          <w:szCs w:val="24"/>
        </w:rPr>
        <w:t xml:space="preserve">disagreement </w:t>
      </w:r>
      <w:r w:rsidR="00643A57">
        <w:rPr>
          <w:rFonts w:ascii="Times New Roman" w:hAnsi="Times New Roman" w:cs="Times New Roman"/>
          <w:sz w:val="24"/>
          <w:szCs w:val="24"/>
        </w:rPr>
        <w:t xml:space="preserve">since then </w:t>
      </w:r>
      <w:r w:rsidR="00B57254" w:rsidRPr="00413E1D">
        <w:rPr>
          <w:rFonts w:ascii="Times New Roman" w:hAnsi="Times New Roman" w:cs="Times New Roman"/>
          <w:sz w:val="24"/>
          <w:szCs w:val="24"/>
        </w:rPr>
        <w:t>on the nature and origin of transaction costs</w:t>
      </w:r>
      <w:r w:rsidR="00500F73">
        <w:rPr>
          <w:rFonts w:ascii="Times New Roman" w:hAnsi="Times New Roman" w:cs="Times New Roman"/>
          <w:sz w:val="24"/>
          <w:szCs w:val="24"/>
        </w:rPr>
        <w:t>,</w:t>
      </w:r>
      <w:r w:rsidR="00CA5C9D">
        <w:rPr>
          <w:rFonts w:ascii="Times New Roman" w:hAnsi="Times New Roman" w:cs="Times New Roman"/>
          <w:sz w:val="24"/>
          <w:szCs w:val="24"/>
        </w:rPr>
        <w:t xml:space="preserve"> </w:t>
      </w:r>
      <w:r w:rsidR="008C4885" w:rsidRPr="00413E1D">
        <w:rPr>
          <w:rFonts w:ascii="Times New Roman" w:hAnsi="Times New Roman" w:cs="Times New Roman"/>
          <w:sz w:val="24"/>
          <w:szCs w:val="24"/>
        </w:rPr>
        <w:t>leading to a multitude of definitions (Williamson, 1981</w:t>
      </w:r>
      <w:r w:rsidR="001637F0">
        <w:rPr>
          <w:rFonts w:ascii="Times New Roman" w:hAnsi="Times New Roman" w:cs="Times New Roman"/>
          <w:sz w:val="24"/>
          <w:szCs w:val="24"/>
        </w:rPr>
        <w:t xml:space="preserve"> and 1985</w:t>
      </w:r>
      <w:r w:rsidR="00202D5A">
        <w:rPr>
          <w:rFonts w:ascii="Times New Roman" w:hAnsi="Times New Roman" w:cs="Times New Roman"/>
          <w:sz w:val="24"/>
          <w:szCs w:val="24"/>
        </w:rPr>
        <w:t xml:space="preserve">; </w:t>
      </w:r>
      <w:r w:rsidR="00202D5A" w:rsidRPr="00202D5A">
        <w:rPr>
          <w:rFonts w:ascii="Times New Roman" w:hAnsi="Times New Roman" w:cs="Times New Roman"/>
          <w:sz w:val="24"/>
          <w:szCs w:val="24"/>
        </w:rPr>
        <w:t>Musole, 2009</w:t>
      </w:r>
      <w:r w:rsidR="008C4885" w:rsidRPr="00413E1D">
        <w:rPr>
          <w:rFonts w:ascii="Times New Roman" w:hAnsi="Times New Roman" w:cs="Times New Roman"/>
          <w:sz w:val="24"/>
          <w:szCs w:val="24"/>
        </w:rPr>
        <w:t>)</w:t>
      </w:r>
      <w:r w:rsidR="00D660D2" w:rsidRPr="00413E1D">
        <w:rPr>
          <w:rFonts w:ascii="Times New Roman" w:hAnsi="Times New Roman" w:cs="Times New Roman"/>
          <w:sz w:val="24"/>
          <w:szCs w:val="24"/>
        </w:rPr>
        <w:t>.</w:t>
      </w:r>
      <w:r w:rsidR="008C4885" w:rsidRPr="00413E1D">
        <w:rPr>
          <w:rFonts w:ascii="Times New Roman" w:hAnsi="Times New Roman" w:cs="Times New Roman"/>
          <w:sz w:val="24"/>
          <w:szCs w:val="24"/>
        </w:rPr>
        <w:t xml:space="preserve"> </w:t>
      </w:r>
      <w:r w:rsidR="0099006E" w:rsidRPr="00413E1D">
        <w:rPr>
          <w:rFonts w:ascii="Times New Roman" w:hAnsi="Times New Roman" w:cs="Times New Roman"/>
          <w:sz w:val="24"/>
          <w:szCs w:val="24"/>
        </w:rPr>
        <w:t>Commons</w:t>
      </w:r>
      <w:r w:rsidR="00500F73">
        <w:rPr>
          <w:rFonts w:ascii="Times New Roman" w:hAnsi="Times New Roman" w:cs="Times New Roman"/>
          <w:sz w:val="24"/>
          <w:szCs w:val="24"/>
        </w:rPr>
        <w:t xml:space="preserve"> (19</w:t>
      </w:r>
      <w:r w:rsidR="00BC6D0E">
        <w:rPr>
          <w:rFonts w:ascii="Times New Roman" w:hAnsi="Times New Roman" w:cs="Times New Roman"/>
          <w:sz w:val="24"/>
          <w:szCs w:val="24"/>
        </w:rPr>
        <w:t>3</w:t>
      </w:r>
      <w:r w:rsidR="00500F73">
        <w:rPr>
          <w:rFonts w:ascii="Times New Roman" w:hAnsi="Times New Roman" w:cs="Times New Roman"/>
          <w:sz w:val="24"/>
          <w:szCs w:val="24"/>
        </w:rPr>
        <w:t xml:space="preserve">1), </w:t>
      </w:r>
      <w:r w:rsidR="00BC6D0E">
        <w:rPr>
          <w:rFonts w:ascii="Times New Roman" w:hAnsi="Times New Roman" w:cs="Times New Roman"/>
          <w:sz w:val="24"/>
          <w:szCs w:val="24"/>
        </w:rPr>
        <w:t xml:space="preserve">for example, </w:t>
      </w:r>
      <w:r w:rsidR="00500F73">
        <w:rPr>
          <w:rFonts w:ascii="Times New Roman" w:hAnsi="Times New Roman" w:cs="Times New Roman"/>
          <w:sz w:val="24"/>
          <w:szCs w:val="24"/>
        </w:rPr>
        <w:t>focusing on property rights,</w:t>
      </w:r>
      <w:r w:rsidR="004E6716" w:rsidRPr="00413E1D">
        <w:rPr>
          <w:rFonts w:ascii="Times New Roman" w:hAnsi="Times New Roman" w:cs="Times New Roman"/>
          <w:sz w:val="24"/>
          <w:szCs w:val="24"/>
        </w:rPr>
        <w:t xml:space="preserve"> identified three main types of transaction which give rise to costs</w:t>
      </w:r>
      <w:r w:rsidR="0099006E" w:rsidRPr="00413E1D">
        <w:rPr>
          <w:rFonts w:ascii="Times New Roman" w:hAnsi="Times New Roman" w:cs="Times New Roman"/>
          <w:sz w:val="24"/>
          <w:szCs w:val="24"/>
        </w:rPr>
        <w:t>: bargaining</w:t>
      </w:r>
      <w:r w:rsidR="00CA5C9D">
        <w:rPr>
          <w:rFonts w:ascii="Times New Roman" w:hAnsi="Times New Roman" w:cs="Times New Roman"/>
          <w:sz w:val="24"/>
          <w:szCs w:val="24"/>
        </w:rPr>
        <w:t>;</w:t>
      </w:r>
      <w:r w:rsidR="0099006E" w:rsidRPr="00413E1D">
        <w:rPr>
          <w:rFonts w:ascii="Times New Roman" w:hAnsi="Times New Roman" w:cs="Times New Roman"/>
          <w:sz w:val="24"/>
          <w:szCs w:val="24"/>
        </w:rPr>
        <w:t xml:space="preserve"> managerial</w:t>
      </w:r>
      <w:r w:rsidR="00CA5C9D">
        <w:rPr>
          <w:rFonts w:ascii="Times New Roman" w:hAnsi="Times New Roman" w:cs="Times New Roman"/>
          <w:sz w:val="24"/>
          <w:szCs w:val="24"/>
        </w:rPr>
        <w:t xml:space="preserve">; </w:t>
      </w:r>
      <w:r w:rsidR="00BC6D0E">
        <w:rPr>
          <w:rFonts w:ascii="Times New Roman" w:hAnsi="Times New Roman" w:cs="Times New Roman"/>
          <w:sz w:val="24"/>
          <w:szCs w:val="24"/>
        </w:rPr>
        <w:t xml:space="preserve">and </w:t>
      </w:r>
      <w:r w:rsidR="0099006E" w:rsidRPr="00413E1D">
        <w:rPr>
          <w:rFonts w:ascii="Times New Roman" w:hAnsi="Times New Roman" w:cs="Times New Roman"/>
          <w:sz w:val="24"/>
          <w:szCs w:val="24"/>
        </w:rPr>
        <w:t>rationing.</w:t>
      </w:r>
      <w:r w:rsidR="009D5417" w:rsidRPr="00413E1D">
        <w:rPr>
          <w:rFonts w:ascii="Times New Roman" w:hAnsi="Times New Roman" w:cs="Times New Roman"/>
          <w:sz w:val="24"/>
          <w:szCs w:val="24"/>
        </w:rPr>
        <w:t xml:space="preserve"> These categories </w:t>
      </w:r>
      <w:r w:rsidR="00202D5A">
        <w:rPr>
          <w:rFonts w:ascii="Times New Roman" w:hAnsi="Times New Roman" w:cs="Times New Roman"/>
          <w:sz w:val="24"/>
          <w:szCs w:val="24"/>
        </w:rPr>
        <w:t>are linked to</w:t>
      </w:r>
      <w:r w:rsidR="009D5417" w:rsidRPr="00413E1D">
        <w:rPr>
          <w:rFonts w:ascii="Times New Roman" w:hAnsi="Times New Roman" w:cs="Times New Roman"/>
          <w:sz w:val="24"/>
          <w:szCs w:val="24"/>
        </w:rPr>
        <w:t xml:space="preserve"> different governance arrangements; </w:t>
      </w:r>
      <w:r w:rsidR="00202D5A">
        <w:rPr>
          <w:rFonts w:ascii="Times New Roman" w:hAnsi="Times New Roman" w:cs="Times New Roman"/>
          <w:sz w:val="24"/>
          <w:szCs w:val="24"/>
        </w:rPr>
        <w:t xml:space="preserve">i.e. </w:t>
      </w:r>
      <w:r w:rsidR="009D5417" w:rsidRPr="00413E1D">
        <w:rPr>
          <w:rFonts w:ascii="Times New Roman" w:hAnsi="Times New Roman" w:cs="Times New Roman"/>
          <w:sz w:val="24"/>
          <w:szCs w:val="24"/>
        </w:rPr>
        <w:t xml:space="preserve">whether the transaction </w:t>
      </w:r>
      <w:r w:rsidR="00500F73">
        <w:rPr>
          <w:rFonts w:ascii="Times New Roman" w:hAnsi="Times New Roman" w:cs="Times New Roman"/>
          <w:sz w:val="24"/>
          <w:szCs w:val="24"/>
        </w:rPr>
        <w:t>is</w:t>
      </w:r>
      <w:r w:rsidR="00500F73" w:rsidRPr="00413E1D">
        <w:rPr>
          <w:rFonts w:ascii="Times New Roman" w:hAnsi="Times New Roman" w:cs="Times New Roman"/>
          <w:sz w:val="24"/>
          <w:szCs w:val="24"/>
        </w:rPr>
        <w:t xml:space="preserve"> </w:t>
      </w:r>
      <w:r w:rsidR="009D5417" w:rsidRPr="00413E1D">
        <w:rPr>
          <w:rFonts w:ascii="Times New Roman" w:hAnsi="Times New Roman" w:cs="Times New Roman"/>
          <w:sz w:val="24"/>
          <w:szCs w:val="24"/>
        </w:rPr>
        <w:t xml:space="preserve">between two parties with ability to negotiate, or </w:t>
      </w:r>
      <w:r w:rsidR="00A80556">
        <w:rPr>
          <w:rFonts w:ascii="Times New Roman" w:hAnsi="Times New Roman" w:cs="Times New Roman"/>
          <w:sz w:val="24"/>
          <w:szCs w:val="24"/>
        </w:rPr>
        <w:t>take</w:t>
      </w:r>
      <w:r w:rsidR="00351551">
        <w:rPr>
          <w:rFonts w:ascii="Times New Roman" w:hAnsi="Times New Roman" w:cs="Times New Roman"/>
          <w:sz w:val="24"/>
          <w:szCs w:val="24"/>
        </w:rPr>
        <w:t>s</w:t>
      </w:r>
      <w:r w:rsidR="00A80556" w:rsidRPr="00413E1D">
        <w:rPr>
          <w:rFonts w:ascii="Times New Roman" w:hAnsi="Times New Roman" w:cs="Times New Roman"/>
          <w:sz w:val="24"/>
          <w:szCs w:val="24"/>
        </w:rPr>
        <w:t xml:space="preserve"> </w:t>
      </w:r>
      <w:r w:rsidR="009D5417" w:rsidRPr="00413E1D">
        <w:rPr>
          <w:rFonts w:ascii="Times New Roman" w:hAnsi="Times New Roman" w:cs="Times New Roman"/>
          <w:sz w:val="24"/>
          <w:szCs w:val="24"/>
        </w:rPr>
        <w:t>place in a strictly hierarchical</w:t>
      </w:r>
      <w:r w:rsidR="00A80556">
        <w:rPr>
          <w:rFonts w:ascii="Times New Roman" w:hAnsi="Times New Roman" w:cs="Times New Roman"/>
          <w:sz w:val="24"/>
          <w:szCs w:val="24"/>
        </w:rPr>
        <w:t xml:space="preserve">, and typically </w:t>
      </w:r>
      <w:r w:rsidR="00CA5C9D">
        <w:rPr>
          <w:rFonts w:ascii="Times New Roman" w:hAnsi="Times New Roman" w:cs="Times New Roman"/>
          <w:sz w:val="24"/>
          <w:szCs w:val="24"/>
        </w:rPr>
        <w:t>contractual</w:t>
      </w:r>
      <w:r w:rsidR="00A80556">
        <w:rPr>
          <w:rFonts w:ascii="Times New Roman" w:hAnsi="Times New Roman" w:cs="Times New Roman"/>
          <w:sz w:val="24"/>
          <w:szCs w:val="24"/>
        </w:rPr>
        <w:t>,</w:t>
      </w:r>
      <w:r w:rsidR="009D5417" w:rsidRPr="00413E1D">
        <w:rPr>
          <w:rFonts w:ascii="Times New Roman" w:hAnsi="Times New Roman" w:cs="Times New Roman"/>
          <w:sz w:val="24"/>
          <w:szCs w:val="24"/>
        </w:rPr>
        <w:t xml:space="preserve"> relationship</w:t>
      </w:r>
      <w:r w:rsidR="004E6716" w:rsidRPr="00413E1D">
        <w:rPr>
          <w:rFonts w:ascii="Times New Roman" w:hAnsi="Times New Roman" w:cs="Times New Roman"/>
          <w:sz w:val="24"/>
          <w:szCs w:val="24"/>
        </w:rPr>
        <w:t xml:space="preserve"> where one party instructs another</w:t>
      </w:r>
      <w:r w:rsidR="009D5417" w:rsidRPr="00413E1D">
        <w:rPr>
          <w:rFonts w:ascii="Times New Roman" w:hAnsi="Times New Roman" w:cs="Times New Roman"/>
          <w:sz w:val="24"/>
          <w:szCs w:val="24"/>
        </w:rPr>
        <w:t>.</w:t>
      </w:r>
    </w:p>
    <w:p w:rsidR="00453A2A" w:rsidRDefault="00BC6D0E" w:rsidP="006B70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Others, in particular Hicks (1935), have viewed t</w:t>
      </w:r>
      <w:r w:rsidR="00500F73">
        <w:rPr>
          <w:rFonts w:ascii="Times New Roman" w:hAnsi="Times New Roman" w:cs="Times New Roman"/>
          <w:sz w:val="24"/>
          <w:szCs w:val="24"/>
        </w:rPr>
        <w:t xml:space="preserve">ransaction costs </w:t>
      </w:r>
      <w:r w:rsidR="0099006E" w:rsidRPr="00413E1D">
        <w:rPr>
          <w:rFonts w:ascii="Times New Roman" w:hAnsi="Times New Roman" w:cs="Times New Roman"/>
          <w:sz w:val="24"/>
          <w:szCs w:val="24"/>
        </w:rPr>
        <w:t>as ‘friction’ arising from ‘the cost of transferring assets f</w:t>
      </w:r>
      <w:r w:rsidR="00D161C0">
        <w:rPr>
          <w:rFonts w:ascii="Times New Roman" w:hAnsi="Times New Roman" w:cs="Times New Roman"/>
          <w:sz w:val="24"/>
          <w:szCs w:val="24"/>
        </w:rPr>
        <w:t>rom one form to another’</w:t>
      </w:r>
      <w:r w:rsidR="00CA5C9D">
        <w:rPr>
          <w:rFonts w:ascii="Times New Roman" w:hAnsi="Times New Roman" w:cs="Times New Roman"/>
          <w:sz w:val="24"/>
          <w:szCs w:val="24"/>
        </w:rPr>
        <w:t>.</w:t>
      </w:r>
      <w:r w:rsidR="00D161C0">
        <w:rPr>
          <w:rFonts w:ascii="Times New Roman" w:hAnsi="Times New Roman" w:cs="Times New Roman"/>
          <w:sz w:val="24"/>
          <w:szCs w:val="24"/>
        </w:rPr>
        <w:t xml:space="preserve"> </w:t>
      </w:r>
      <w:r w:rsidR="00CA5C9D">
        <w:rPr>
          <w:rFonts w:ascii="Times New Roman" w:hAnsi="Times New Roman" w:cs="Times New Roman"/>
          <w:sz w:val="24"/>
          <w:szCs w:val="24"/>
        </w:rPr>
        <w:t>T</w:t>
      </w:r>
      <w:r w:rsidR="00681CC0">
        <w:rPr>
          <w:rFonts w:ascii="Times New Roman" w:hAnsi="Times New Roman" w:cs="Times New Roman"/>
          <w:sz w:val="24"/>
          <w:szCs w:val="24"/>
        </w:rPr>
        <w:t xml:space="preserve">ransaction </w:t>
      </w:r>
      <w:r w:rsidR="009A406D">
        <w:rPr>
          <w:rFonts w:ascii="Times New Roman" w:hAnsi="Times New Roman" w:cs="Times New Roman"/>
          <w:sz w:val="24"/>
          <w:szCs w:val="24"/>
        </w:rPr>
        <w:t>costs</w:t>
      </w:r>
      <w:r w:rsidR="0099006E" w:rsidRPr="00413E1D">
        <w:rPr>
          <w:rFonts w:ascii="Times New Roman" w:hAnsi="Times New Roman" w:cs="Times New Roman"/>
          <w:sz w:val="24"/>
          <w:szCs w:val="24"/>
        </w:rPr>
        <w:t xml:space="preserve"> arise where any</w:t>
      </w:r>
      <w:r w:rsidR="00CA5C9D">
        <w:rPr>
          <w:rFonts w:ascii="Times New Roman" w:hAnsi="Times New Roman" w:cs="Times New Roman"/>
          <w:sz w:val="24"/>
          <w:szCs w:val="24"/>
        </w:rPr>
        <w:t xml:space="preserve"> public or private</w:t>
      </w:r>
      <w:r w:rsidR="0099006E" w:rsidRPr="00413E1D">
        <w:rPr>
          <w:rFonts w:ascii="Times New Roman" w:hAnsi="Times New Roman" w:cs="Times New Roman"/>
          <w:sz w:val="24"/>
          <w:szCs w:val="24"/>
        </w:rPr>
        <w:t xml:space="preserve"> asset is transferred</w:t>
      </w:r>
      <w:r w:rsidR="00202D5A">
        <w:rPr>
          <w:rFonts w:ascii="Times New Roman" w:hAnsi="Times New Roman" w:cs="Times New Roman"/>
          <w:sz w:val="24"/>
          <w:szCs w:val="24"/>
        </w:rPr>
        <w:t xml:space="preserve"> between </w:t>
      </w:r>
      <w:r w:rsidR="00AE782D" w:rsidRPr="00413E1D">
        <w:rPr>
          <w:rFonts w:ascii="Times New Roman" w:hAnsi="Times New Roman" w:cs="Times New Roman"/>
          <w:sz w:val="24"/>
          <w:szCs w:val="24"/>
        </w:rPr>
        <w:t>parties</w:t>
      </w:r>
      <w:r w:rsidR="001637F0">
        <w:rPr>
          <w:rFonts w:ascii="Times New Roman" w:hAnsi="Times New Roman" w:cs="Times New Roman"/>
          <w:sz w:val="24"/>
          <w:szCs w:val="24"/>
        </w:rPr>
        <w:t>.</w:t>
      </w:r>
      <w:r w:rsidR="00F47130" w:rsidRPr="00413E1D">
        <w:rPr>
          <w:rFonts w:ascii="Times New Roman" w:hAnsi="Times New Roman" w:cs="Times New Roman"/>
          <w:sz w:val="24"/>
          <w:szCs w:val="24"/>
        </w:rPr>
        <w:t xml:space="preserve"> Initial interest was focused on the friction inherent in the private sector where institutional arrangements </w:t>
      </w:r>
      <w:r w:rsidR="00884A14">
        <w:rPr>
          <w:rFonts w:ascii="Times New Roman" w:hAnsi="Times New Roman" w:cs="Times New Roman"/>
          <w:sz w:val="24"/>
          <w:szCs w:val="24"/>
        </w:rPr>
        <w:t>affect</w:t>
      </w:r>
      <w:r w:rsidR="00F47130" w:rsidRPr="00413E1D">
        <w:rPr>
          <w:rFonts w:ascii="Times New Roman" w:hAnsi="Times New Roman" w:cs="Times New Roman"/>
          <w:sz w:val="24"/>
          <w:szCs w:val="24"/>
        </w:rPr>
        <w:t xml:space="preserve"> the res</w:t>
      </w:r>
      <w:r w:rsidR="00413E1D">
        <w:rPr>
          <w:rFonts w:ascii="Times New Roman" w:hAnsi="Times New Roman" w:cs="Times New Roman"/>
          <w:sz w:val="24"/>
          <w:szCs w:val="24"/>
        </w:rPr>
        <w:t>ources necessary</w:t>
      </w:r>
      <w:r w:rsidR="00F47130" w:rsidRPr="00413E1D">
        <w:rPr>
          <w:rFonts w:ascii="Times New Roman" w:hAnsi="Times New Roman" w:cs="Times New Roman"/>
          <w:sz w:val="24"/>
          <w:szCs w:val="24"/>
        </w:rPr>
        <w:t xml:space="preserve"> to ensur</w:t>
      </w:r>
      <w:r w:rsidR="00413E1D">
        <w:rPr>
          <w:rFonts w:ascii="Times New Roman" w:hAnsi="Times New Roman" w:cs="Times New Roman"/>
          <w:sz w:val="24"/>
          <w:szCs w:val="24"/>
        </w:rPr>
        <w:t>e</w:t>
      </w:r>
      <w:r w:rsidR="00F47130" w:rsidRPr="00413E1D">
        <w:rPr>
          <w:rFonts w:ascii="Times New Roman" w:hAnsi="Times New Roman" w:cs="Times New Roman"/>
          <w:sz w:val="24"/>
          <w:szCs w:val="24"/>
        </w:rPr>
        <w:t xml:space="preserve"> successful exchange</w:t>
      </w:r>
      <w:r w:rsidR="00352727">
        <w:rPr>
          <w:rFonts w:ascii="Times New Roman" w:hAnsi="Times New Roman" w:cs="Times New Roman"/>
          <w:sz w:val="24"/>
          <w:szCs w:val="24"/>
        </w:rPr>
        <w:t xml:space="preserve"> </w:t>
      </w:r>
      <w:r w:rsidR="00B13A96">
        <w:rPr>
          <w:rFonts w:ascii="Times New Roman" w:hAnsi="Times New Roman" w:cs="Times New Roman"/>
          <w:sz w:val="24"/>
          <w:szCs w:val="24"/>
        </w:rPr>
        <w:t>between and within firms</w:t>
      </w:r>
      <w:r w:rsidR="00CA5C9D">
        <w:rPr>
          <w:rFonts w:ascii="Times New Roman" w:hAnsi="Times New Roman" w:cs="Times New Roman"/>
          <w:sz w:val="24"/>
          <w:szCs w:val="24"/>
        </w:rPr>
        <w:t>.</w:t>
      </w:r>
      <w:r w:rsidR="00A75829">
        <w:rPr>
          <w:rFonts w:ascii="Times New Roman" w:hAnsi="Times New Roman" w:cs="Times New Roman"/>
          <w:sz w:val="24"/>
          <w:szCs w:val="24"/>
        </w:rPr>
        <w:t xml:space="preserve"> </w:t>
      </w:r>
      <w:r w:rsidR="00CA5C9D">
        <w:rPr>
          <w:rFonts w:ascii="Times New Roman" w:hAnsi="Times New Roman" w:cs="Times New Roman"/>
          <w:sz w:val="24"/>
          <w:szCs w:val="24"/>
        </w:rPr>
        <w:t>T</w:t>
      </w:r>
      <w:r w:rsidR="00B13A96">
        <w:rPr>
          <w:rFonts w:ascii="Times New Roman" w:hAnsi="Times New Roman" w:cs="Times New Roman"/>
          <w:sz w:val="24"/>
          <w:szCs w:val="24"/>
        </w:rPr>
        <w:t>ransaction costs can</w:t>
      </w:r>
      <w:r w:rsidR="003D47B8">
        <w:rPr>
          <w:rFonts w:ascii="Times New Roman" w:hAnsi="Times New Roman" w:cs="Times New Roman"/>
          <w:sz w:val="24"/>
          <w:szCs w:val="24"/>
        </w:rPr>
        <w:t xml:space="preserve"> </w:t>
      </w:r>
      <w:r w:rsidR="00A75829">
        <w:rPr>
          <w:rFonts w:ascii="Times New Roman" w:hAnsi="Times New Roman" w:cs="Times New Roman"/>
          <w:sz w:val="24"/>
          <w:szCs w:val="24"/>
        </w:rPr>
        <w:t xml:space="preserve">also </w:t>
      </w:r>
      <w:r w:rsidR="003D47B8">
        <w:rPr>
          <w:rFonts w:ascii="Times New Roman" w:hAnsi="Times New Roman" w:cs="Times New Roman"/>
          <w:sz w:val="24"/>
          <w:szCs w:val="24"/>
        </w:rPr>
        <w:t xml:space="preserve">occur </w:t>
      </w:r>
      <w:r w:rsidR="00CA5C9D">
        <w:rPr>
          <w:rFonts w:ascii="Times New Roman" w:hAnsi="Times New Roman" w:cs="Times New Roman"/>
          <w:sz w:val="24"/>
          <w:szCs w:val="24"/>
        </w:rPr>
        <w:t>when</w:t>
      </w:r>
      <w:r w:rsidR="003D47B8">
        <w:rPr>
          <w:rFonts w:ascii="Times New Roman" w:hAnsi="Times New Roman" w:cs="Times New Roman"/>
          <w:sz w:val="24"/>
          <w:szCs w:val="24"/>
        </w:rPr>
        <w:t xml:space="preserve"> </w:t>
      </w:r>
      <w:r w:rsidR="00326FDD">
        <w:rPr>
          <w:rFonts w:ascii="Times New Roman" w:hAnsi="Times New Roman" w:cs="Times New Roman"/>
          <w:sz w:val="24"/>
          <w:szCs w:val="24"/>
        </w:rPr>
        <w:t>government</w:t>
      </w:r>
      <w:r w:rsidR="003D47B8">
        <w:rPr>
          <w:rFonts w:ascii="Times New Roman" w:hAnsi="Times New Roman" w:cs="Times New Roman"/>
          <w:sz w:val="24"/>
          <w:szCs w:val="24"/>
        </w:rPr>
        <w:t xml:space="preserve"> policies affect the</w:t>
      </w:r>
      <w:r w:rsidR="003D47B8" w:rsidRPr="00D72561">
        <w:rPr>
          <w:rFonts w:ascii="Times New Roman" w:hAnsi="Times New Roman"/>
          <w:sz w:val="24"/>
          <w:lang w:val="en-GB"/>
        </w:rPr>
        <w:t xml:space="preserve"> behaviour</w:t>
      </w:r>
      <w:r w:rsidR="003D47B8">
        <w:rPr>
          <w:rFonts w:ascii="Times New Roman" w:hAnsi="Times New Roman" w:cs="Times New Roman"/>
          <w:sz w:val="24"/>
          <w:szCs w:val="24"/>
        </w:rPr>
        <w:t xml:space="preserve"> and exchanges of individuals and businesses</w:t>
      </w:r>
      <w:r w:rsidR="00FA314B">
        <w:rPr>
          <w:rFonts w:ascii="Times New Roman" w:hAnsi="Times New Roman" w:cs="Times New Roman"/>
          <w:sz w:val="24"/>
          <w:szCs w:val="24"/>
        </w:rPr>
        <w:t xml:space="preserve"> (Van</w:t>
      </w:r>
      <w:r w:rsidR="00FA314B" w:rsidRPr="00D72561">
        <w:rPr>
          <w:rFonts w:ascii="Times New Roman" w:hAnsi="Times New Roman"/>
          <w:sz w:val="24"/>
          <w:lang w:val="en-GB"/>
        </w:rPr>
        <w:t xml:space="preserve"> Huylenbroeck</w:t>
      </w:r>
      <w:r w:rsidR="00FA314B">
        <w:rPr>
          <w:rFonts w:ascii="Times New Roman" w:hAnsi="Times New Roman" w:cs="Times New Roman"/>
          <w:sz w:val="24"/>
          <w:szCs w:val="24"/>
        </w:rPr>
        <w:t xml:space="preserve">, </w:t>
      </w:r>
      <w:r w:rsidR="001B6DE9" w:rsidRPr="001B6DE9">
        <w:rPr>
          <w:rFonts w:ascii="Times New Roman" w:hAnsi="Times New Roman" w:cs="Times New Roman"/>
          <w:i/>
          <w:sz w:val="24"/>
          <w:szCs w:val="24"/>
        </w:rPr>
        <w:t>et al</w:t>
      </w:r>
      <w:r w:rsidR="00FA314B">
        <w:rPr>
          <w:rFonts w:ascii="Times New Roman" w:hAnsi="Times New Roman" w:cs="Times New Roman"/>
          <w:sz w:val="24"/>
          <w:szCs w:val="24"/>
        </w:rPr>
        <w:t>., 2005)</w:t>
      </w:r>
      <w:r w:rsidR="008D745F">
        <w:rPr>
          <w:rFonts w:ascii="Times New Roman" w:hAnsi="Times New Roman" w:cs="Times New Roman"/>
          <w:sz w:val="24"/>
          <w:szCs w:val="24"/>
        </w:rPr>
        <w:t>.</w:t>
      </w:r>
      <w:r w:rsidR="00070E15">
        <w:rPr>
          <w:rFonts w:ascii="Times New Roman" w:hAnsi="Times New Roman" w:cs="Times New Roman"/>
          <w:sz w:val="24"/>
          <w:szCs w:val="24"/>
        </w:rPr>
        <w:t xml:space="preserve"> </w:t>
      </w:r>
      <w:r w:rsidR="00AC0AAC">
        <w:rPr>
          <w:rFonts w:ascii="Times New Roman" w:hAnsi="Times New Roman" w:cs="Times New Roman"/>
          <w:sz w:val="24"/>
          <w:szCs w:val="24"/>
        </w:rPr>
        <w:t>In a public policy context w</w:t>
      </w:r>
      <w:r w:rsidR="003D007C">
        <w:rPr>
          <w:rFonts w:ascii="Times New Roman" w:hAnsi="Times New Roman" w:cs="Times New Roman"/>
          <w:sz w:val="24"/>
          <w:szCs w:val="24"/>
        </w:rPr>
        <w:t xml:space="preserve">e can </w:t>
      </w:r>
      <w:r w:rsidR="00DA4ECE">
        <w:rPr>
          <w:rFonts w:ascii="Times New Roman" w:hAnsi="Times New Roman" w:cs="Times New Roman"/>
          <w:sz w:val="24"/>
          <w:szCs w:val="24"/>
        </w:rPr>
        <w:t>approach</w:t>
      </w:r>
      <w:r w:rsidR="003D007C">
        <w:rPr>
          <w:rFonts w:ascii="Times New Roman" w:hAnsi="Times New Roman" w:cs="Times New Roman"/>
          <w:sz w:val="24"/>
          <w:szCs w:val="24"/>
        </w:rPr>
        <w:t xml:space="preserve"> transactions</w:t>
      </w:r>
      <w:r w:rsidR="008D745F">
        <w:rPr>
          <w:rFonts w:ascii="Times New Roman" w:hAnsi="Times New Roman" w:cs="Times New Roman"/>
          <w:sz w:val="24"/>
          <w:szCs w:val="24"/>
        </w:rPr>
        <w:t xml:space="preserve"> as </w:t>
      </w:r>
      <w:r w:rsidR="003D007C">
        <w:rPr>
          <w:rFonts w:ascii="Times New Roman" w:hAnsi="Times New Roman" w:cs="Times New Roman"/>
          <w:sz w:val="24"/>
          <w:szCs w:val="24"/>
        </w:rPr>
        <w:t>activit</w:t>
      </w:r>
      <w:r w:rsidR="008D745F">
        <w:rPr>
          <w:rFonts w:ascii="Times New Roman" w:hAnsi="Times New Roman" w:cs="Times New Roman"/>
          <w:sz w:val="24"/>
          <w:szCs w:val="24"/>
        </w:rPr>
        <w:t>ies</w:t>
      </w:r>
      <w:r w:rsidR="003D007C">
        <w:rPr>
          <w:rFonts w:ascii="Times New Roman" w:hAnsi="Times New Roman" w:cs="Times New Roman"/>
          <w:sz w:val="24"/>
          <w:szCs w:val="24"/>
        </w:rPr>
        <w:t xml:space="preserve"> that invol</w:t>
      </w:r>
      <w:r w:rsidR="000D3EEB">
        <w:rPr>
          <w:rFonts w:ascii="Times New Roman" w:hAnsi="Times New Roman" w:cs="Times New Roman"/>
          <w:sz w:val="24"/>
          <w:szCs w:val="24"/>
        </w:rPr>
        <w:t xml:space="preserve">ve the </w:t>
      </w:r>
      <w:r w:rsidR="00DA4ECE">
        <w:rPr>
          <w:rFonts w:ascii="Times New Roman" w:hAnsi="Times New Roman" w:cs="Times New Roman"/>
          <w:sz w:val="24"/>
          <w:szCs w:val="24"/>
        </w:rPr>
        <w:t xml:space="preserve">deliberate </w:t>
      </w:r>
      <w:r w:rsidR="000D3EEB">
        <w:rPr>
          <w:rFonts w:ascii="Times New Roman" w:hAnsi="Times New Roman" w:cs="Times New Roman"/>
          <w:sz w:val="24"/>
          <w:szCs w:val="24"/>
        </w:rPr>
        <w:t>transfer of resources (expertise, personnel, funding</w:t>
      </w:r>
      <w:r w:rsidR="00DA4ECE">
        <w:rPr>
          <w:rFonts w:ascii="Times New Roman" w:hAnsi="Times New Roman" w:cs="Times New Roman"/>
          <w:sz w:val="24"/>
          <w:szCs w:val="24"/>
        </w:rPr>
        <w:t>, assets</w:t>
      </w:r>
      <w:r w:rsidR="000D3EEB">
        <w:rPr>
          <w:rFonts w:ascii="Times New Roman" w:hAnsi="Times New Roman" w:cs="Times New Roman"/>
          <w:sz w:val="24"/>
          <w:szCs w:val="24"/>
        </w:rPr>
        <w:t>) from one agen</w:t>
      </w:r>
      <w:r w:rsidR="00776EF8">
        <w:rPr>
          <w:rFonts w:ascii="Times New Roman" w:hAnsi="Times New Roman" w:cs="Times New Roman"/>
          <w:sz w:val="24"/>
          <w:szCs w:val="24"/>
        </w:rPr>
        <w:t>t</w:t>
      </w:r>
      <w:r w:rsidR="000D3EEB">
        <w:rPr>
          <w:rFonts w:ascii="Times New Roman" w:hAnsi="Times New Roman" w:cs="Times New Roman"/>
          <w:sz w:val="24"/>
          <w:szCs w:val="24"/>
        </w:rPr>
        <w:t xml:space="preserve"> to another in order to achieve a policy goal</w:t>
      </w:r>
      <w:r w:rsidR="005F3BDA">
        <w:rPr>
          <w:rStyle w:val="FootnoteReference"/>
          <w:rFonts w:ascii="Times New Roman" w:hAnsi="Times New Roman" w:cs="Times New Roman"/>
          <w:sz w:val="24"/>
          <w:szCs w:val="24"/>
        </w:rPr>
        <w:footnoteReference w:id="5"/>
      </w:r>
      <w:r w:rsidR="000D3EEB">
        <w:rPr>
          <w:rFonts w:ascii="Times New Roman" w:hAnsi="Times New Roman" w:cs="Times New Roman"/>
          <w:sz w:val="24"/>
          <w:szCs w:val="24"/>
        </w:rPr>
        <w:t>.</w:t>
      </w:r>
      <w:r w:rsidR="00202D5A">
        <w:rPr>
          <w:rFonts w:ascii="Times New Roman" w:hAnsi="Times New Roman" w:cs="Times New Roman"/>
          <w:sz w:val="24"/>
          <w:szCs w:val="24"/>
        </w:rPr>
        <w:t xml:space="preserve"> This can include public-private (e.g. grants), private-public (taxes</w:t>
      </w:r>
      <w:r w:rsidR="00DA4ECE">
        <w:rPr>
          <w:rFonts w:ascii="Times New Roman" w:hAnsi="Times New Roman" w:cs="Times New Roman"/>
          <w:sz w:val="24"/>
          <w:szCs w:val="24"/>
        </w:rPr>
        <w:t>, property rights</w:t>
      </w:r>
      <w:r w:rsidR="00202D5A">
        <w:rPr>
          <w:rFonts w:ascii="Times New Roman" w:hAnsi="Times New Roman" w:cs="Times New Roman"/>
          <w:sz w:val="24"/>
          <w:szCs w:val="24"/>
        </w:rPr>
        <w:t>) or public-public transfers (delegated resources, powers to plan or regulate).</w:t>
      </w:r>
      <w:r w:rsidR="0007711C">
        <w:rPr>
          <w:rFonts w:ascii="Times New Roman" w:hAnsi="Times New Roman" w:cs="Times New Roman"/>
          <w:sz w:val="24"/>
          <w:szCs w:val="24"/>
        </w:rPr>
        <w:t xml:space="preserve"> </w:t>
      </w:r>
      <w:r>
        <w:rPr>
          <w:rFonts w:ascii="Times New Roman" w:hAnsi="Times New Roman" w:cs="Times New Roman"/>
          <w:sz w:val="24"/>
          <w:szCs w:val="24"/>
        </w:rPr>
        <w:t xml:space="preserve">More recently </w:t>
      </w:r>
      <w:r w:rsidR="00253DF4">
        <w:rPr>
          <w:rFonts w:ascii="Times New Roman" w:hAnsi="Times New Roman" w:cs="Times New Roman"/>
          <w:sz w:val="24"/>
          <w:szCs w:val="24"/>
        </w:rPr>
        <w:t>Coggan et al (2010)</w:t>
      </w:r>
      <w:r w:rsidR="00AC0AAC">
        <w:rPr>
          <w:rFonts w:ascii="Times New Roman" w:hAnsi="Times New Roman" w:cs="Times New Roman"/>
          <w:sz w:val="24"/>
          <w:szCs w:val="24"/>
        </w:rPr>
        <w:t xml:space="preserve">, in </w:t>
      </w:r>
      <w:r w:rsidR="00253DF4">
        <w:rPr>
          <w:rFonts w:ascii="Times New Roman" w:hAnsi="Times New Roman" w:cs="Times New Roman"/>
          <w:sz w:val="24"/>
          <w:szCs w:val="24"/>
        </w:rPr>
        <w:t xml:space="preserve">a review of </w:t>
      </w:r>
      <w:r w:rsidR="00453A2A">
        <w:rPr>
          <w:rFonts w:ascii="Times New Roman" w:hAnsi="Times New Roman" w:cs="Times New Roman"/>
          <w:sz w:val="24"/>
          <w:szCs w:val="24"/>
        </w:rPr>
        <w:t xml:space="preserve">environmental policy </w:t>
      </w:r>
      <w:r w:rsidR="00253DF4">
        <w:rPr>
          <w:rFonts w:ascii="Times New Roman" w:hAnsi="Times New Roman" w:cs="Times New Roman"/>
          <w:sz w:val="24"/>
          <w:szCs w:val="24"/>
        </w:rPr>
        <w:t>literature</w:t>
      </w:r>
      <w:r>
        <w:rPr>
          <w:rFonts w:ascii="Times New Roman" w:hAnsi="Times New Roman" w:cs="Times New Roman"/>
          <w:sz w:val="24"/>
          <w:szCs w:val="24"/>
        </w:rPr>
        <w:t>,</w:t>
      </w:r>
      <w:r w:rsidR="00253DF4">
        <w:rPr>
          <w:rFonts w:ascii="Times New Roman" w:hAnsi="Times New Roman" w:cs="Times New Roman"/>
          <w:sz w:val="24"/>
          <w:szCs w:val="24"/>
        </w:rPr>
        <w:t xml:space="preserve"> </w:t>
      </w:r>
      <w:r>
        <w:rPr>
          <w:rFonts w:ascii="Times New Roman" w:hAnsi="Times New Roman" w:cs="Times New Roman"/>
          <w:sz w:val="24"/>
          <w:szCs w:val="24"/>
        </w:rPr>
        <w:t xml:space="preserve"> classify</w:t>
      </w:r>
      <w:r w:rsidR="00253DF4">
        <w:rPr>
          <w:rFonts w:ascii="Times New Roman" w:hAnsi="Times New Roman" w:cs="Times New Roman"/>
          <w:sz w:val="24"/>
          <w:szCs w:val="24"/>
        </w:rPr>
        <w:t xml:space="preserve"> transaction costs</w:t>
      </w:r>
      <w:r w:rsidR="00DA642A">
        <w:rPr>
          <w:rFonts w:ascii="Times New Roman" w:hAnsi="Times New Roman" w:cs="Times New Roman"/>
          <w:sz w:val="24"/>
          <w:szCs w:val="24"/>
        </w:rPr>
        <w:t xml:space="preserve"> </w:t>
      </w:r>
      <w:r w:rsidR="00453A2A">
        <w:rPr>
          <w:rFonts w:ascii="Times New Roman" w:hAnsi="Times New Roman" w:cs="Times New Roman"/>
          <w:sz w:val="24"/>
          <w:szCs w:val="24"/>
        </w:rPr>
        <w:t>by reference to when they occur in the policy process and what generates the costs</w:t>
      </w:r>
      <w:r>
        <w:rPr>
          <w:rFonts w:ascii="Times New Roman" w:hAnsi="Times New Roman" w:cs="Times New Roman"/>
          <w:sz w:val="24"/>
          <w:szCs w:val="24"/>
        </w:rPr>
        <w:t>, creating seven categories</w:t>
      </w:r>
      <w:r w:rsidR="00A82658">
        <w:rPr>
          <w:rFonts w:ascii="Times New Roman" w:hAnsi="Times New Roman" w:cs="Times New Roman"/>
          <w:sz w:val="24"/>
          <w:szCs w:val="24"/>
        </w:rPr>
        <w:t>: k</w:t>
      </w:r>
      <w:r w:rsidR="00A82658" w:rsidRPr="00A82658">
        <w:rPr>
          <w:rFonts w:ascii="Times New Roman" w:hAnsi="Times New Roman" w:cs="Times New Roman"/>
          <w:sz w:val="24"/>
          <w:szCs w:val="24"/>
        </w:rPr>
        <w:t>nowledge and information</w:t>
      </w:r>
      <w:r w:rsidR="00A82658">
        <w:rPr>
          <w:rFonts w:ascii="Times New Roman" w:hAnsi="Times New Roman" w:cs="Times New Roman"/>
          <w:sz w:val="24"/>
          <w:szCs w:val="24"/>
        </w:rPr>
        <w:t>; p</w:t>
      </w:r>
      <w:r w:rsidR="00A82658" w:rsidRPr="00A82658">
        <w:rPr>
          <w:rFonts w:ascii="Times New Roman" w:hAnsi="Times New Roman" w:cs="Times New Roman"/>
          <w:sz w:val="24"/>
          <w:szCs w:val="24"/>
        </w:rPr>
        <w:t>erception and understanding</w:t>
      </w:r>
      <w:r w:rsidR="00A82658">
        <w:rPr>
          <w:rFonts w:ascii="Times New Roman" w:hAnsi="Times New Roman" w:cs="Times New Roman"/>
          <w:sz w:val="24"/>
          <w:szCs w:val="24"/>
        </w:rPr>
        <w:t>;</w:t>
      </w:r>
      <w:r w:rsidR="00453A2A">
        <w:rPr>
          <w:rFonts w:ascii="Times New Roman" w:hAnsi="Times New Roman" w:cs="Times New Roman"/>
          <w:sz w:val="24"/>
          <w:szCs w:val="24"/>
        </w:rPr>
        <w:t xml:space="preserve"> </w:t>
      </w:r>
      <w:r w:rsidR="00A82658">
        <w:rPr>
          <w:rFonts w:ascii="Times New Roman" w:hAnsi="Times New Roman" w:cs="Times New Roman"/>
          <w:sz w:val="24"/>
          <w:szCs w:val="24"/>
        </w:rPr>
        <w:t>a</w:t>
      </w:r>
      <w:r w:rsidR="00A82658" w:rsidRPr="00A82658">
        <w:rPr>
          <w:rFonts w:ascii="Times New Roman" w:hAnsi="Times New Roman" w:cs="Times New Roman"/>
          <w:sz w:val="24"/>
          <w:szCs w:val="24"/>
        </w:rPr>
        <w:t>pplication</w:t>
      </w:r>
      <w:r w:rsidR="00453A2A">
        <w:rPr>
          <w:rFonts w:ascii="Times New Roman" w:hAnsi="Times New Roman" w:cs="Times New Roman"/>
          <w:sz w:val="24"/>
          <w:szCs w:val="24"/>
        </w:rPr>
        <w:t xml:space="preserve"> (e.g. for policy support)</w:t>
      </w:r>
      <w:r w:rsidR="00A82658">
        <w:rPr>
          <w:rFonts w:ascii="Times New Roman" w:hAnsi="Times New Roman" w:cs="Times New Roman"/>
          <w:sz w:val="24"/>
          <w:szCs w:val="24"/>
        </w:rPr>
        <w:t>; n</w:t>
      </w:r>
      <w:r w:rsidR="00A82658" w:rsidRPr="00A82658">
        <w:rPr>
          <w:rFonts w:ascii="Times New Roman" w:hAnsi="Times New Roman" w:cs="Times New Roman"/>
          <w:sz w:val="24"/>
          <w:szCs w:val="24"/>
        </w:rPr>
        <w:t>egotiating contract</w:t>
      </w:r>
      <w:r w:rsidR="00A82658">
        <w:rPr>
          <w:rFonts w:ascii="Times New Roman" w:hAnsi="Times New Roman" w:cs="Times New Roman"/>
          <w:sz w:val="24"/>
          <w:szCs w:val="24"/>
        </w:rPr>
        <w:t>s; m</w:t>
      </w:r>
      <w:r w:rsidR="00A82658" w:rsidRPr="00A82658">
        <w:rPr>
          <w:rFonts w:ascii="Times New Roman" w:hAnsi="Times New Roman" w:cs="Times New Roman"/>
          <w:sz w:val="24"/>
          <w:szCs w:val="24"/>
        </w:rPr>
        <w:t>anagement requirement</w:t>
      </w:r>
      <w:r w:rsidR="00453A2A">
        <w:rPr>
          <w:rFonts w:ascii="Times New Roman" w:hAnsi="Times New Roman" w:cs="Times New Roman"/>
          <w:sz w:val="24"/>
          <w:szCs w:val="24"/>
        </w:rPr>
        <w:t>s; m</w:t>
      </w:r>
      <w:r w:rsidR="00A82658" w:rsidRPr="00A82658">
        <w:rPr>
          <w:rFonts w:ascii="Times New Roman" w:hAnsi="Times New Roman" w:cs="Times New Roman"/>
          <w:sz w:val="24"/>
          <w:szCs w:val="24"/>
        </w:rPr>
        <w:t>onitoring and evaluation</w:t>
      </w:r>
      <w:r w:rsidR="00453A2A">
        <w:rPr>
          <w:rFonts w:ascii="Times New Roman" w:hAnsi="Times New Roman" w:cs="Times New Roman"/>
          <w:sz w:val="24"/>
          <w:szCs w:val="24"/>
        </w:rPr>
        <w:t>; and c</w:t>
      </w:r>
      <w:r w:rsidR="00A82658" w:rsidRPr="00A82658">
        <w:rPr>
          <w:rFonts w:ascii="Times New Roman" w:hAnsi="Times New Roman" w:cs="Times New Roman"/>
          <w:sz w:val="24"/>
          <w:szCs w:val="24"/>
        </w:rPr>
        <w:t>ompliance</w:t>
      </w:r>
      <w:r w:rsidR="00DA642A">
        <w:rPr>
          <w:rFonts w:ascii="Times New Roman" w:hAnsi="Times New Roman" w:cs="Times New Roman"/>
          <w:sz w:val="24"/>
          <w:szCs w:val="24"/>
        </w:rPr>
        <w:t>.</w:t>
      </w:r>
      <w:r w:rsidR="00453A2A">
        <w:rPr>
          <w:rFonts w:ascii="Times New Roman" w:hAnsi="Times New Roman" w:cs="Times New Roman"/>
          <w:sz w:val="24"/>
          <w:szCs w:val="24"/>
        </w:rPr>
        <w:t xml:space="preserve"> For all these categories, costs are experienced by public administrators and by the beneficiaries of policy</w:t>
      </w:r>
      <w:r w:rsidR="00884A14">
        <w:rPr>
          <w:rFonts w:ascii="Times New Roman" w:hAnsi="Times New Roman" w:cs="Times New Roman"/>
          <w:sz w:val="24"/>
          <w:szCs w:val="24"/>
        </w:rPr>
        <w:t xml:space="preserve"> during the transaction process</w:t>
      </w:r>
      <w:r w:rsidR="00453A2A">
        <w:rPr>
          <w:rFonts w:ascii="Times New Roman" w:hAnsi="Times New Roman" w:cs="Times New Roman"/>
          <w:sz w:val="24"/>
          <w:szCs w:val="24"/>
        </w:rPr>
        <w:t xml:space="preserve">, but in different ways and to varying extent. </w:t>
      </w:r>
      <w:r w:rsidR="00253DF4">
        <w:rPr>
          <w:rFonts w:ascii="Times New Roman" w:hAnsi="Times New Roman" w:cs="Times New Roman"/>
          <w:sz w:val="24"/>
          <w:szCs w:val="24"/>
        </w:rPr>
        <w:t xml:space="preserve"> </w:t>
      </w:r>
    </w:p>
    <w:p w:rsidR="006B7007" w:rsidRDefault="006B7007" w:rsidP="006B7007">
      <w:pPr>
        <w:spacing w:after="0" w:line="360" w:lineRule="auto"/>
        <w:jc w:val="both"/>
        <w:rPr>
          <w:rFonts w:ascii="Times New Roman" w:hAnsi="Times New Roman" w:cs="Times New Roman"/>
          <w:sz w:val="24"/>
          <w:szCs w:val="24"/>
        </w:rPr>
      </w:pPr>
    </w:p>
    <w:p w:rsidR="00AF1ACA" w:rsidRDefault="00453A2A" w:rsidP="008D745F">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07711C">
        <w:rPr>
          <w:rFonts w:ascii="Times New Roman" w:hAnsi="Times New Roman" w:cs="Times New Roman"/>
          <w:sz w:val="24"/>
          <w:szCs w:val="24"/>
        </w:rPr>
        <w:t>ransaction cos</w:t>
      </w:r>
      <w:r w:rsidR="006A1C76">
        <w:rPr>
          <w:rFonts w:ascii="Times New Roman" w:hAnsi="Times New Roman" w:cs="Times New Roman"/>
          <w:sz w:val="24"/>
          <w:szCs w:val="24"/>
        </w:rPr>
        <w:t xml:space="preserve">ts are </w:t>
      </w:r>
      <w:r w:rsidR="00CA5C9D">
        <w:rPr>
          <w:rFonts w:ascii="Times New Roman" w:hAnsi="Times New Roman" w:cs="Times New Roman"/>
          <w:sz w:val="24"/>
          <w:szCs w:val="24"/>
        </w:rPr>
        <w:t>both</w:t>
      </w:r>
      <w:r w:rsidR="006A1C76">
        <w:rPr>
          <w:rFonts w:ascii="Times New Roman" w:hAnsi="Times New Roman" w:cs="Times New Roman"/>
          <w:sz w:val="24"/>
          <w:szCs w:val="24"/>
        </w:rPr>
        <w:t xml:space="preserve"> context-</w:t>
      </w:r>
      <w:r w:rsidR="0007711C">
        <w:rPr>
          <w:rFonts w:ascii="Times New Roman" w:hAnsi="Times New Roman" w:cs="Times New Roman"/>
          <w:sz w:val="24"/>
          <w:szCs w:val="24"/>
        </w:rPr>
        <w:t>specific</w:t>
      </w:r>
      <w:r w:rsidR="00CA5C9D">
        <w:rPr>
          <w:rFonts w:ascii="Times New Roman" w:hAnsi="Times New Roman" w:cs="Times New Roman"/>
          <w:sz w:val="24"/>
          <w:szCs w:val="24"/>
        </w:rPr>
        <w:t xml:space="preserve"> and perspective</w:t>
      </w:r>
      <w:r>
        <w:rPr>
          <w:rFonts w:ascii="Times New Roman" w:hAnsi="Times New Roman" w:cs="Times New Roman"/>
          <w:sz w:val="24"/>
          <w:szCs w:val="24"/>
        </w:rPr>
        <w:t>-</w:t>
      </w:r>
      <w:r w:rsidR="00CA5C9D">
        <w:rPr>
          <w:rFonts w:ascii="Times New Roman" w:hAnsi="Times New Roman" w:cs="Times New Roman"/>
          <w:sz w:val="24"/>
          <w:szCs w:val="24"/>
        </w:rPr>
        <w:t>dependent</w:t>
      </w:r>
      <w:r w:rsidR="006A1C76">
        <w:rPr>
          <w:rFonts w:ascii="Times New Roman" w:hAnsi="Times New Roman" w:cs="Times New Roman"/>
          <w:sz w:val="24"/>
          <w:szCs w:val="24"/>
        </w:rPr>
        <w:t>:</w:t>
      </w:r>
      <w:r w:rsidR="0007711C">
        <w:rPr>
          <w:rFonts w:ascii="Times New Roman" w:hAnsi="Times New Roman" w:cs="Times New Roman"/>
          <w:sz w:val="24"/>
          <w:szCs w:val="24"/>
        </w:rPr>
        <w:t xml:space="preserve"> what may be considered as a cost</w:t>
      </w:r>
      <w:r w:rsidR="009A7524">
        <w:rPr>
          <w:rFonts w:ascii="Times New Roman" w:hAnsi="Times New Roman" w:cs="Times New Roman"/>
          <w:sz w:val="24"/>
          <w:szCs w:val="24"/>
        </w:rPr>
        <w:t xml:space="preserve"> </w:t>
      </w:r>
      <w:r w:rsidR="0007711C">
        <w:rPr>
          <w:rFonts w:ascii="Times New Roman" w:hAnsi="Times New Roman" w:cs="Times New Roman"/>
          <w:sz w:val="24"/>
          <w:szCs w:val="24"/>
        </w:rPr>
        <w:t xml:space="preserve">by one participant in the process, may </w:t>
      </w:r>
      <w:r w:rsidR="006A1C76">
        <w:rPr>
          <w:rFonts w:ascii="Times New Roman" w:hAnsi="Times New Roman" w:cs="Times New Roman"/>
          <w:sz w:val="24"/>
          <w:szCs w:val="24"/>
        </w:rPr>
        <w:t xml:space="preserve">not </w:t>
      </w:r>
      <w:r w:rsidR="0007711C">
        <w:rPr>
          <w:rFonts w:ascii="Times New Roman" w:hAnsi="Times New Roman" w:cs="Times New Roman"/>
          <w:sz w:val="24"/>
          <w:szCs w:val="24"/>
        </w:rPr>
        <w:t xml:space="preserve">be </w:t>
      </w:r>
      <w:r w:rsidR="00AC0AAC">
        <w:rPr>
          <w:rFonts w:ascii="Times New Roman" w:hAnsi="Times New Roman" w:cs="Times New Roman"/>
          <w:sz w:val="24"/>
          <w:szCs w:val="24"/>
        </w:rPr>
        <w:t>seen in the same manner when viewed</w:t>
      </w:r>
      <w:r w:rsidR="0007711C" w:rsidRPr="00AF1ACA">
        <w:rPr>
          <w:rFonts w:ascii="Times New Roman" w:hAnsi="Times New Roman" w:cs="Times New Roman"/>
          <w:sz w:val="24"/>
          <w:szCs w:val="24"/>
        </w:rPr>
        <w:t xml:space="preserve"> from a wider perspective</w:t>
      </w:r>
      <w:r w:rsidR="00AF1ACA">
        <w:rPr>
          <w:rFonts w:ascii="Times New Roman" w:hAnsi="Times New Roman" w:cs="Times New Roman"/>
          <w:sz w:val="24"/>
          <w:szCs w:val="24"/>
        </w:rPr>
        <w:t xml:space="preserve"> </w:t>
      </w:r>
      <w:r w:rsidR="0007711C">
        <w:rPr>
          <w:rFonts w:ascii="Times New Roman" w:hAnsi="Times New Roman" w:cs="Times New Roman"/>
          <w:sz w:val="24"/>
          <w:szCs w:val="24"/>
        </w:rPr>
        <w:t>(Schmid, 2004;</w:t>
      </w:r>
      <w:r w:rsidR="00AF1ACA">
        <w:rPr>
          <w:rFonts w:ascii="Times New Roman" w:hAnsi="Times New Roman" w:cs="Times New Roman"/>
          <w:sz w:val="24"/>
          <w:szCs w:val="24"/>
        </w:rPr>
        <w:t xml:space="preserve"> Musole, 2009; Schlag, 1989)</w:t>
      </w:r>
      <w:r w:rsidR="0043223D">
        <w:rPr>
          <w:rFonts w:ascii="Times New Roman" w:hAnsi="Times New Roman" w:cs="Times New Roman"/>
          <w:sz w:val="24"/>
          <w:szCs w:val="24"/>
        </w:rPr>
        <w:t xml:space="preserve">. </w:t>
      </w:r>
      <w:r w:rsidR="00AF1ACA" w:rsidRPr="002F49BE">
        <w:rPr>
          <w:rFonts w:ascii="Times New Roman" w:hAnsi="Times New Roman" w:cs="Times New Roman"/>
          <w:sz w:val="24"/>
          <w:szCs w:val="24"/>
        </w:rPr>
        <w:t>T</w:t>
      </w:r>
      <w:r w:rsidR="0036658D" w:rsidRPr="002F49BE">
        <w:rPr>
          <w:rFonts w:ascii="Times New Roman" w:hAnsi="Times New Roman" w:cs="Times New Roman"/>
          <w:sz w:val="24"/>
          <w:szCs w:val="24"/>
        </w:rPr>
        <w:t xml:space="preserve">he </w:t>
      </w:r>
      <w:r w:rsidR="00AF1ACA" w:rsidRPr="002F49BE">
        <w:rPr>
          <w:rFonts w:ascii="Times New Roman" w:hAnsi="Times New Roman" w:cs="Times New Roman"/>
          <w:sz w:val="24"/>
          <w:szCs w:val="24"/>
        </w:rPr>
        <w:t xml:space="preserve">more </w:t>
      </w:r>
      <w:r w:rsidR="0036658D" w:rsidRPr="002F49BE">
        <w:rPr>
          <w:rFonts w:ascii="Times New Roman" w:hAnsi="Times New Roman" w:cs="Times New Roman"/>
          <w:sz w:val="24"/>
          <w:szCs w:val="24"/>
        </w:rPr>
        <w:t xml:space="preserve">traditional </w:t>
      </w:r>
      <w:r w:rsidR="00AF1ACA" w:rsidRPr="002F49BE">
        <w:rPr>
          <w:rFonts w:ascii="Times New Roman" w:hAnsi="Times New Roman" w:cs="Times New Roman"/>
          <w:sz w:val="24"/>
          <w:szCs w:val="24"/>
        </w:rPr>
        <w:t xml:space="preserve">view of </w:t>
      </w:r>
      <w:r w:rsidR="00AC0AAC">
        <w:rPr>
          <w:rFonts w:ascii="Times New Roman" w:hAnsi="Times New Roman" w:cs="Times New Roman"/>
          <w:sz w:val="24"/>
          <w:szCs w:val="24"/>
        </w:rPr>
        <w:t xml:space="preserve">a </w:t>
      </w:r>
      <w:r w:rsidR="00AF1ACA" w:rsidRPr="002F49BE">
        <w:rPr>
          <w:rFonts w:ascii="Times New Roman" w:hAnsi="Times New Roman" w:cs="Times New Roman"/>
          <w:sz w:val="24"/>
          <w:szCs w:val="24"/>
        </w:rPr>
        <w:t>transaction</w:t>
      </w:r>
      <w:r w:rsidR="00DD0537">
        <w:rPr>
          <w:rFonts w:ascii="Times New Roman" w:hAnsi="Times New Roman" w:cs="Times New Roman"/>
          <w:sz w:val="24"/>
          <w:szCs w:val="24"/>
        </w:rPr>
        <w:t xml:space="preserve"> impact</w:t>
      </w:r>
      <w:r w:rsidR="00CA5C9D">
        <w:rPr>
          <w:rFonts w:ascii="Times New Roman" w:hAnsi="Times New Roman" w:cs="Times New Roman"/>
          <w:sz w:val="24"/>
          <w:szCs w:val="24"/>
        </w:rPr>
        <w:t xml:space="preserve"> </w:t>
      </w:r>
      <w:r w:rsidR="00AF1ACA" w:rsidRPr="002F49BE">
        <w:rPr>
          <w:rFonts w:ascii="Times New Roman" w:hAnsi="Times New Roman" w:cs="Times New Roman"/>
          <w:sz w:val="24"/>
          <w:szCs w:val="24"/>
        </w:rPr>
        <w:t xml:space="preserve">is </w:t>
      </w:r>
      <w:r w:rsidR="006A1C76" w:rsidRPr="002F49BE">
        <w:rPr>
          <w:rFonts w:ascii="Times New Roman" w:hAnsi="Times New Roman" w:cs="Times New Roman"/>
          <w:sz w:val="24"/>
          <w:szCs w:val="24"/>
        </w:rPr>
        <w:t xml:space="preserve">a </w:t>
      </w:r>
      <w:r w:rsidR="00AF1ACA" w:rsidRPr="002F49BE">
        <w:rPr>
          <w:rFonts w:ascii="Times New Roman" w:hAnsi="Times New Roman" w:cs="Times New Roman"/>
          <w:sz w:val="24"/>
          <w:szCs w:val="24"/>
        </w:rPr>
        <w:t>negative one</w:t>
      </w:r>
      <w:r w:rsidR="00CA5C9D">
        <w:rPr>
          <w:rFonts w:ascii="Times New Roman" w:hAnsi="Times New Roman" w:cs="Times New Roman"/>
          <w:sz w:val="24"/>
          <w:szCs w:val="24"/>
        </w:rPr>
        <w:t xml:space="preserve"> (as a cost)</w:t>
      </w:r>
      <w:r w:rsidR="006A1C76" w:rsidRPr="002F49BE">
        <w:rPr>
          <w:rFonts w:ascii="Times New Roman" w:hAnsi="Times New Roman" w:cs="Times New Roman"/>
          <w:sz w:val="24"/>
          <w:szCs w:val="24"/>
        </w:rPr>
        <w:t>,</w:t>
      </w:r>
      <w:r w:rsidR="00AF1ACA" w:rsidRPr="002F49BE">
        <w:rPr>
          <w:rFonts w:ascii="Times New Roman" w:hAnsi="Times New Roman" w:cs="Times New Roman"/>
          <w:sz w:val="24"/>
          <w:szCs w:val="24"/>
        </w:rPr>
        <w:t xml:space="preserve"> but</w:t>
      </w:r>
      <w:r w:rsidR="00853ABE" w:rsidRPr="002F49BE">
        <w:rPr>
          <w:rFonts w:ascii="Times New Roman" w:hAnsi="Times New Roman" w:cs="Times New Roman"/>
          <w:sz w:val="24"/>
          <w:szCs w:val="24"/>
        </w:rPr>
        <w:t xml:space="preserve"> Schmid (2004) </w:t>
      </w:r>
      <w:r w:rsidR="001D43C5" w:rsidRPr="002F49BE">
        <w:rPr>
          <w:rFonts w:ascii="Times New Roman" w:hAnsi="Times New Roman" w:cs="Times New Roman"/>
          <w:sz w:val="24"/>
          <w:szCs w:val="24"/>
        </w:rPr>
        <w:t>argu</w:t>
      </w:r>
      <w:r w:rsidR="00B95690" w:rsidRPr="002F49BE">
        <w:rPr>
          <w:rFonts w:ascii="Times New Roman" w:hAnsi="Times New Roman" w:cs="Times New Roman"/>
          <w:sz w:val="24"/>
          <w:szCs w:val="24"/>
        </w:rPr>
        <w:t>es</w:t>
      </w:r>
      <w:r w:rsidR="001D43C5" w:rsidRPr="002F49BE">
        <w:rPr>
          <w:rFonts w:ascii="Times New Roman" w:hAnsi="Times New Roman" w:cs="Times New Roman"/>
          <w:sz w:val="24"/>
          <w:szCs w:val="24"/>
        </w:rPr>
        <w:t xml:space="preserve"> that</w:t>
      </w:r>
      <w:r w:rsidR="003245D3">
        <w:rPr>
          <w:rFonts w:ascii="Times New Roman" w:hAnsi="Times New Roman" w:cs="Times New Roman"/>
          <w:sz w:val="24"/>
          <w:szCs w:val="24"/>
        </w:rPr>
        <w:t>,</w:t>
      </w:r>
      <w:r w:rsidR="00EC3619" w:rsidRPr="002F49BE">
        <w:rPr>
          <w:rFonts w:ascii="Times New Roman" w:hAnsi="Times New Roman" w:cs="Times New Roman"/>
          <w:sz w:val="24"/>
          <w:szCs w:val="24"/>
        </w:rPr>
        <w:t xml:space="preserve"> in </w:t>
      </w:r>
      <w:r w:rsidR="00AF6AE0" w:rsidRPr="002F49BE">
        <w:rPr>
          <w:rFonts w:ascii="Times New Roman" w:hAnsi="Times New Roman" w:cs="Times New Roman"/>
          <w:sz w:val="24"/>
          <w:szCs w:val="24"/>
        </w:rPr>
        <w:t>many</w:t>
      </w:r>
      <w:r w:rsidR="00EC3619" w:rsidRPr="002F49BE">
        <w:rPr>
          <w:rFonts w:ascii="Times New Roman" w:hAnsi="Times New Roman" w:cs="Times New Roman"/>
          <w:sz w:val="24"/>
          <w:szCs w:val="24"/>
        </w:rPr>
        <w:t xml:space="preserve"> circumstances</w:t>
      </w:r>
      <w:r w:rsidR="00553088" w:rsidRPr="002F49BE">
        <w:rPr>
          <w:rFonts w:ascii="Times New Roman" w:hAnsi="Times New Roman" w:cs="Times New Roman"/>
          <w:sz w:val="24"/>
          <w:szCs w:val="24"/>
        </w:rPr>
        <w:t>,</w:t>
      </w:r>
      <w:r w:rsidR="00AF1ACA" w:rsidRPr="002F49BE">
        <w:rPr>
          <w:rFonts w:ascii="Times New Roman" w:hAnsi="Times New Roman" w:cs="Times New Roman"/>
          <w:sz w:val="24"/>
          <w:szCs w:val="24"/>
        </w:rPr>
        <w:t xml:space="preserve"> the</w:t>
      </w:r>
      <w:r w:rsidR="00AC0AAC">
        <w:rPr>
          <w:rFonts w:ascii="Times New Roman" w:hAnsi="Times New Roman" w:cs="Times New Roman"/>
          <w:sz w:val="24"/>
          <w:szCs w:val="24"/>
        </w:rPr>
        <w:t xml:space="preserve"> activities associated with a transaction </w:t>
      </w:r>
      <w:r w:rsidR="003245D3">
        <w:rPr>
          <w:rFonts w:ascii="Times New Roman" w:hAnsi="Times New Roman" w:cs="Times New Roman"/>
          <w:sz w:val="24"/>
          <w:szCs w:val="24"/>
        </w:rPr>
        <w:t xml:space="preserve">can </w:t>
      </w:r>
      <w:r w:rsidR="00CA5C9D">
        <w:rPr>
          <w:rFonts w:ascii="Times New Roman" w:hAnsi="Times New Roman" w:cs="Times New Roman"/>
          <w:sz w:val="24"/>
          <w:szCs w:val="24"/>
        </w:rPr>
        <w:t xml:space="preserve">also </w:t>
      </w:r>
      <w:r w:rsidR="003245D3">
        <w:rPr>
          <w:rFonts w:ascii="Times New Roman" w:hAnsi="Times New Roman" w:cs="Times New Roman"/>
          <w:sz w:val="24"/>
          <w:szCs w:val="24"/>
        </w:rPr>
        <w:t>be viewed as</w:t>
      </w:r>
      <w:r w:rsidR="00AC0AAC">
        <w:rPr>
          <w:rFonts w:ascii="Times New Roman" w:hAnsi="Times New Roman" w:cs="Times New Roman"/>
          <w:sz w:val="24"/>
          <w:szCs w:val="24"/>
        </w:rPr>
        <w:t xml:space="preserve"> opportunities</w:t>
      </w:r>
      <w:r w:rsidR="0043223D">
        <w:rPr>
          <w:rFonts w:ascii="Times New Roman" w:hAnsi="Times New Roman" w:cs="Times New Roman"/>
          <w:sz w:val="24"/>
          <w:szCs w:val="24"/>
        </w:rPr>
        <w:t xml:space="preserve"> enabling</w:t>
      </w:r>
      <w:r w:rsidR="003245D3">
        <w:rPr>
          <w:rFonts w:ascii="Times New Roman" w:hAnsi="Times New Roman" w:cs="Times New Roman"/>
          <w:sz w:val="24"/>
          <w:szCs w:val="24"/>
        </w:rPr>
        <w:t xml:space="preserve"> investment</w:t>
      </w:r>
      <w:r w:rsidR="00AF6AE0" w:rsidRPr="002F49BE">
        <w:rPr>
          <w:rFonts w:ascii="Times New Roman" w:hAnsi="Times New Roman" w:cs="Times New Roman"/>
          <w:sz w:val="24"/>
          <w:szCs w:val="24"/>
        </w:rPr>
        <w:t xml:space="preserve">s </w:t>
      </w:r>
      <w:r w:rsidR="008D745F">
        <w:rPr>
          <w:rFonts w:ascii="Times New Roman" w:hAnsi="Times New Roman" w:cs="Times New Roman"/>
          <w:sz w:val="24"/>
          <w:szCs w:val="24"/>
        </w:rPr>
        <w:t xml:space="preserve">to </w:t>
      </w:r>
      <w:r w:rsidR="00667542" w:rsidRPr="002F49BE">
        <w:rPr>
          <w:rFonts w:ascii="Times New Roman" w:hAnsi="Times New Roman" w:cs="Times New Roman"/>
          <w:sz w:val="24"/>
          <w:szCs w:val="24"/>
        </w:rPr>
        <w:t xml:space="preserve">achieve more efficient </w:t>
      </w:r>
      <w:r w:rsidR="00C35298" w:rsidRPr="002F49BE">
        <w:rPr>
          <w:rFonts w:ascii="Times New Roman" w:hAnsi="Times New Roman" w:cs="Times New Roman"/>
          <w:sz w:val="24"/>
          <w:szCs w:val="24"/>
        </w:rPr>
        <w:t>outcomes</w:t>
      </w:r>
      <w:r w:rsidR="00667542" w:rsidRPr="002F49BE">
        <w:rPr>
          <w:rFonts w:ascii="Times New Roman" w:hAnsi="Times New Roman" w:cs="Times New Roman"/>
          <w:sz w:val="24"/>
          <w:szCs w:val="24"/>
        </w:rPr>
        <w:t>.</w:t>
      </w:r>
      <w:r w:rsidR="00326FDD">
        <w:rPr>
          <w:rFonts w:ascii="Times New Roman" w:hAnsi="Times New Roman" w:cs="Times New Roman"/>
          <w:sz w:val="24"/>
          <w:szCs w:val="24"/>
        </w:rPr>
        <w:t xml:space="preserve"> </w:t>
      </w:r>
      <w:r w:rsidR="00CA5C9D">
        <w:rPr>
          <w:rFonts w:ascii="Times New Roman" w:hAnsi="Times New Roman" w:cs="Times New Roman"/>
          <w:sz w:val="24"/>
          <w:szCs w:val="24"/>
        </w:rPr>
        <w:t>A</w:t>
      </w:r>
      <w:r w:rsidR="00730D0F" w:rsidRPr="00413E1D">
        <w:rPr>
          <w:rFonts w:ascii="Times New Roman" w:hAnsi="Times New Roman" w:cs="Times New Roman"/>
          <w:sz w:val="24"/>
          <w:szCs w:val="24"/>
        </w:rPr>
        <w:t>cti</w:t>
      </w:r>
      <w:r w:rsidR="00AC0AAC">
        <w:rPr>
          <w:rFonts w:ascii="Times New Roman" w:hAnsi="Times New Roman" w:cs="Times New Roman"/>
          <w:sz w:val="24"/>
          <w:szCs w:val="24"/>
        </w:rPr>
        <w:t xml:space="preserve">ons </w:t>
      </w:r>
      <w:r w:rsidR="00CA5C9D">
        <w:rPr>
          <w:rFonts w:ascii="Times New Roman" w:hAnsi="Times New Roman" w:cs="Times New Roman"/>
          <w:sz w:val="24"/>
          <w:szCs w:val="24"/>
        </w:rPr>
        <w:t xml:space="preserve">such as </w:t>
      </w:r>
      <w:r w:rsidR="00F50087" w:rsidRPr="00413E1D">
        <w:rPr>
          <w:rFonts w:ascii="Times New Roman" w:hAnsi="Times New Roman" w:cs="Times New Roman"/>
          <w:sz w:val="24"/>
          <w:szCs w:val="24"/>
        </w:rPr>
        <w:t xml:space="preserve">information gathering, meetings, drawing up contracts, monitoring, </w:t>
      </w:r>
      <w:r w:rsidR="00CA5C9D">
        <w:rPr>
          <w:rFonts w:ascii="Times New Roman" w:hAnsi="Times New Roman" w:cs="Times New Roman"/>
          <w:sz w:val="24"/>
          <w:szCs w:val="24"/>
        </w:rPr>
        <w:t xml:space="preserve">and </w:t>
      </w:r>
      <w:r w:rsidR="00F50087" w:rsidRPr="00413E1D">
        <w:rPr>
          <w:rFonts w:ascii="Times New Roman" w:hAnsi="Times New Roman" w:cs="Times New Roman"/>
          <w:sz w:val="24"/>
          <w:szCs w:val="24"/>
        </w:rPr>
        <w:t xml:space="preserve">ensuring compliance, </w:t>
      </w:r>
      <w:r w:rsidR="00CA5C9D">
        <w:rPr>
          <w:rFonts w:ascii="Times New Roman" w:hAnsi="Times New Roman" w:cs="Times New Roman"/>
          <w:sz w:val="24"/>
          <w:szCs w:val="24"/>
        </w:rPr>
        <w:t xml:space="preserve">can </w:t>
      </w:r>
      <w:r w:rsidR="00F50087" w:rsidRPr="00413E1D">
        <w:rPr>
          <w:rFonts w:ascii="Times New Roman" w:hAnsi="Times New Roman" w:cs="Times New Roman"/>
          <w:sz w:val="24"/>
          <w:szCs w:val="24"/>
        </w:rPr>
        <w:t>produce</w:t>
      </w:r>
      <w:r w:rsidR="00AF130B">
        <w:rPr>
          <w:rFonts w:ascii="Times New Roman" w:hAnsi="Times New Roman" w:cs="Times New Roman"/>
          <w:sz w:val="24"/>
          <w:szCs w:val="24"/>
        </w:rPr>
        <w:t xml:space="preserve"> </w:t>
      </w:r>
      <w:r w:rsidR="00F50087" w:rsidRPr="00413E1D">
        <w:rPr>
          <w:rFonts w:ascii="Times New Roman" w:hAnsi="Times New Roman" w:cs="Times New Roman"/>
          <w:sz w:val="24"/>
          <w:szCs w:val="24"/>
        </w:rPr>
        <w:t>benefits</w:t>
      </w:r>
      <w:r w:rsidR="00AF130B">
        <w:rPr>
          <w:rFonts w:ascii="Times New Roman" w:hAnsi="Times New Roman" w:cs="Times New Roman"/>
          <w:sz w:val="24"/>
          <w:szCs w:val="24"/>
        </w:rPr>
        <w:t xml:space="preserve"> beyond the immediate transaction,</w:t>
      </w:r>
      <w:r w:rsidR="00F50087" w:rsidRPr="00413E1D">
        <w:rPr>
          <w:rFonts w:ascii="Times New Roman" w:hAnsi="Times New Roman" w:cs="Times New Roman"/>
          <w:sz w:val="24"/>
          <w:szCs w:val="24"/>
        </w:rPr>
        <w:t xml:space="preserve"> </w:t>
      </w:r>
      <w:r w:rsidR="00AC0AAC">
        <w:rPr>
          <w:rFonts w:ascii="Times New Roman" w:hAnsi="Times New Roman" w:cs="Times New Roman"/>
          <w:sz w:val="24"/>
          <w:szCs w:val="24"/>
        </w:rPr>
        <w:t xml:space="preserve">for example, </w:t>
      </w:r>
      <w:r w:rsidR="00CA5C9D">
        <w:rPr>
          <w:rFonts w:ascii="Times New Roman" w:hAnsi="Times New Roman" w:cs="Times New Roman"/>
          <w:sz w:val="24"/>
          <w:szCs w:val="24"/>
        </w:rPr>
        <w:t>through</w:t>
      </w:r>
      <w:r w:rsidR="00F50087" w:rsidRPr="00413E1D">
        <w:rPr>
          <w:rFonts w:ascii="Times New Roman" w:hAnsi="Times New Roman" w:cs="Times New Roman"/>
          <w:sz w:val="24"/>
          <w:szCs w:val="24"/>
        </w:rPr>
        <w:t xml:space="preserve"> increased trust</w:t>
      </w:r>
      <w:r w:rsidR="00AF130B">
        <w:rPr>
          <w:rFonts w:ascii="Times New Roman" w:hAnsi="Times New Roman" w:cs="Times New Roman"/>
          <w:sz w:val="24"/>
          <w:szCs w:val="24"/>
        </w:rPr>
        <w:t xml:space="preserve"> between </w:t>
      </w:r>
      <w:r w:rsidR="00B95690">
        <w:rPr>
          <w:rFonts w:ascii="Times New Roman" w:hAnsi="Times New Roman" w:cs="Times New Roman"/>
          <w:sz w:val="24"/>
          <w:szCs w:val="24"/>
        </w:rPr>
        <w:t>actors</w:t>
      </w:r>
      <w:r w:rsidR="00F50087" w:rsidRPr="00413E1D">
        <w:rPr>
          <w:rFonts w:ascii="Times New Roman" w:hAnsi="Times New Roman" w:cs="Times New Roman"/>
          <w:sz w:val="24"/>
          <w:szCs w:val="24"/>
        </w:rPr>
        <w:t xml:space="preserve">, </w:t>
      </w:r>
      <w:r w:rsidR="00326FDD">
        <w:rPr>
          <w:rFonts w:ascii="Times New Roman" w:hAnsi="Times New Roman" w:cs="Times New Roman"/>
          <w:sz w:val="24"/>
          <w:szCs w:val="24"/>
        </w:rPr>
        <w:t>potentially resulting</w:t>
      </w:r>
      <w:r w:rsidR="00AF130B">
        <w:rPr>
          <w:rFonts w:ascii="Times New Roman" w:hAnsi="Times New Roman" w:cs="Times New Roman"/>
          <w:sz w:val="24"/>
          <w:szCs w:val="24"/>
        </w:rPr>
        <w:t xml:space="preserve"> in quicker, </w:t>
      </w:r>
      <w:r w:rsidR="00F50087" w:rsidRPr="00413E1D">
        <w:rPr>
          <w:rFonts w:ascii="Times New Roman" w:hAnsi="Times New Roman" w:cs="Times New Roman"/>
          <w:sz w:val="24"/>
          <w:szCs w:val="24"/>
        </w:rPr>
        <w:t>cheaper</w:t>
      </w:r>
      <w:r w:rsidR="00AF130B">
        <w:rPr>
          <w:rFonts w:ascii="Times New Roman" w:hAnsi="Times New Roman" w:cs="Times New Roman"/>
          <w:sz w:val="24"/>
          <w:szCs w:val="24"/>
        </w:rPr>
        <w:t xml:space="preserve"> and/or increased</w:t>
      </w:r>
      <w:r w:rsidR="00F50087" w:rsidRPr="00413E1D">
        <w:rPr>
          <w:rFonts w:ascii="Times New Roman" w:hAnsi="Times New Roman" w:cs="Times New Roman"/>
          <w:sz w:val="24"/>
          <w:szCs w:val="24"/>
        </w:rPr>
        <w:t xml:space="preserve"> </w:t>
      </w:r>
      <w:r w:rsidR="00AF130B">
        <w:rPr>
          <w:rFonts w:ascii="Times New Roman" w:hAnsi="Times New Roman" w:cs="Times New Roman"/>
          <w:sz w:val="24"/>
          <w:szCs w:val="24"/>
        </w:rPr>
        <w:t>exchange</w:t>
      </w:r>
      <w:r w:rsidR="006B7007">
        <w:rPr>
          <w:rFonts w:ascii="Times New Roman" w:hAnsi="Times New Roman" w:cs="Times New Roman"/>
          <w:sz w:val="24"/>
          <w:szCs w:val="24"/>
        </w:rPr>
        <w:t>s</w:t>
      </w:r>
      <w:r w:rsidR="00F50087" w:rsidRPr="00413E1D">
        <w:rPr>
          <w:rFonts w:ascii="Times New Roman" w:hAnsi="Times New Roman" w:cs="Times New Roman"/>
          <w:sz w:val="24"/>
          <w:szCs w:val="24"/>
        </w:rPr>
        <w:t xml:space="preserve"> in the future.</w:t>
      </w:r>
      <w:r w:rsidR="00D50D0E" w:rsidRPr="00413E1D">
        <w:rPr>
          <w:rFonts w:ascii="Times New Roman" w:hAnsi="Times New Roman" w:cs="Times New Roman"/>
          <w:sz w:val="24"/>
          <w:szCs w:val="24"/>
        </w:rPr>
        <w:t xml:space="preserve"> </w:t>
      </w:r>
      <w:r w:rsidR="00667542">
        <w:rPr>
          <w:rFonts w:ascii="Times New Roman" w:hAnsi="Times New Roman" w:cs="Times New Roman"/>
          <w:sz w:val="24"/>
          <w:szCs w:val="24"/>
        </w:rPr>
        <w:t>The resources</w:t>
      </w:r>
      <w:r w:rsidR="00AF1ACA">
        <w:rPr>
          <w:rFonts w:ascii="Times New Roman" w:hAnsi="Times New Roman" w:cs="Times New Roman"/>
          <w:sz w:val="24"/>
          <w:szCs w:val="24"/>
        </w:rPr>
        <w:t xml:space="preserve"> </w:t>
      </w:r>
      <w:r w:rsidR="00667542">
        <w:rPr>
          <w:rFonts w:ascii="Times New Roman" w:hAnsi="Times New Roman" w:cs="Times New Roman"/>
          <w:sz w:val="24"/>
          <w:szCs w:val="24"/>
        </w:rPr>
        <w:lastRenderedPageBreak/>
        <w:t xml:space="preserve">invested in </w:t>
      </w:r>
      <w:r w:rsidR="004E5E30">
        <w:rPr>
          <w:rFonts w:ascii="Times New Roman" w:hAnsi="Times New Roman" w:cs="Times New Roman"/>
          <w:sz w:val="24"/>
          <w:szCs w:val="24"/>
        </w:rPr>
        <w:t>developing relationships and understanding</w:t>
      </w:r>
      <w:r w:rsidR="008D745F">
        <w:rPr>
          <w:rFonts w:ascii="Times New Roman" w:hAnsi="Times New Roman" w:cs="Times New Roman"/>
          <w:sz w:val="24"/>
          <w:szCs w:val="24"/>
        </w:rPr>
        <w:t xml:space="preserve"> as part of a transaction</w:t>
      </w:r>
      <w:r w:rsidR="004E5E30">
        <w:rPr>
          <w:rFonts w:ascii="Times New Roman" w:hAnsi="Times New Roman" w:cs="Times New Roman"/>
          <w:sz w:val="24"/>
          <w:szCs w:val="24"/>
        </w:rPr>
        <w:t xml:space="preserve"> </w:t>
      </w:r>
      <w:r w:rsidR="00667542">
        <w:rPr>
          <w:rFonts w:ascii="Times New Roman" w:hAnsi="Times New Roman" w:cs="Times New Roman"/>
          <w:sz w:val="24"/>
          <w:szCs w:val="24"/>
        </w:rPr>
        <w:t>m</w:t>
      </w:r>
      <w:r w:rsidR="008D745F">
        <w:rPr>
          <w:rFonts w:ascii="Times New Roman" w:hAnsi="Times New Roman" w:cs="Times New Roman"/>
          <w:sz w:val="24"/>
          <w:szCs w:val="24"/>
        </w:rPr>
        <w:t>ay</w:t>
      </w:r>
      <w:r w:rsidR="00667542">
        <w:rPr>
          <w:rFonts w:ascii="Times New Roman" w:hAnsi="Times New Roman" w:cs="Times New Roman"/>
          <w:sz w:val="24"/>
          <w:szCs w:val="24"/>
        </w:rPr>
        <w:t xml:space="preserve"> yield </w:t>
      </w:r>
      <w:r w:rsidR="00D50D0E" w:rsidRPr="00413E1D">
        <w:rPr>
          <w:rFonts w:ascii="Times New Roman" w:hAnsi="Times New Roman" w:cs="Times New Roman"/>
          <w:sz w:val="24"/>
          <w:szCs w:val="24"/>
        </w:rPr>
        <w:t>benefits</w:t>
      </w:r>
      <w:r w:rsidR="00CA5C9D">
        <w:rPr>
          <w:rFonts w:ascii="Times New Roman" w:hAnsi="Times New Roman" w:cs="Times New Roman"/>
          <w:sz w:val="24"/>
          <w:szCs w:val="24"/>
        </w:rPr>
        <w:t xml:space="preserve"> </w:t>
      </w:r>
      <w:r w:rsidR="006970D6">
        <w:rPr>
          <w:rFonts w:ascii="Times New Roman" w:hAnsi="Times New Roman" w:cs="Times New Roman"/>
          <w:sz w:val="24"/>
          <w:szCs w:val="24"/>
        </w:rPr>
        <w:t xml:space="preserve">which outweigh </w:t>
      </w:r>
      <w:r w:rsidR="00CA5C9D">
        <w:rPr>
          <w:rFonts w:ascii="Times New Roman" w:hAnsi="Times New Roman" w:cs="Times New Roman"/>
          <w:sz w:val="24"/>
          <w:szCs w:val="24"/>
        </w:rPr>
        <w:t xml:space="preserve">the direct </w:t>
      </w:r>
      <w:r w:rsidR="006970D6">
        <w:rPr>
          <w:rFonts w:ascii="Times New Roman" w:hAnsi="Times New Roman" w:cs="Times New Roman"/>
          <w:sz w:val="24"/>
          <w:szCs w:val="24"/>
        </w:rPr>
        <w:t>costs</w:t>
      </w:r>
      <w:r w:rsidR="00326FDD">
        <w:rPr>
          <w:rFonts w:ascii="Times New Roman" w:hAnsi="Times New Roman" w:cs="Times New Roman"/>
          <w:sz w:val="24"/>
          <w:szCs w:val="24"/>
        </w:rPr>
        <w:t xml:space="preserve"> of </w:t>
      </w:r>
      <w:r w:rsidR="00F6372C">
        <w:rPr>
          <w:rFonts w:ascii="Times New Roman" w:hAnsi="Times New Roman" w:cs="Times New Roman"/>
          <w:sz w:val="24"/>
          <w:szCs w:val="24"/>
        </w:rPr>
        <w:t>such an investment</w:t>
      </w:r>
      <w:r w:rsidR="00667542">
        <w:rPr>
          <w:rFonts w:ascii="Times New Roman" w:hAnsi="Times New Roman" w:cs="Times New Roman"/>
          <w:sz w:val="24"/>
          <w:szCs w:val="24"/>
        </w:rPr>
        <w:t>.</w:t>
      </w:r>
      <w:r w:rsidR="00957652">
        <w:rPr>
          <w:rFonts w:ascii="Times New Roman" w:hAnsi="Times New Roman" w:cs="Times New Roman"/>
          <w:sz w:val="24"/>
          <w:szCs w:val="24"/>
        </w:rPr>
        <w:t xml:space="preserve"> </w:t>
      </w:r>
    </w:p>
    <w:p w:rsidR="00F14D77" w:rsidRDefault="00F14D77" w:rsidP="008D745F">
      <w:pPr>
        <w:spacing w:after="0" w:line="360" w:lineRule="auto"/>
        <w:jc w:val="both"/>
        <w:rPr>
          <w:rFonts w:ascii="Times New Roman" w:hAnsi="Times New Roman" w:cs="Times New Roman"/>
          <w:sz w:val="24"/>
          <w:szCs w:val="24"/>
        </w:rPr>
      </w:pPr>
    </w:p>
    <w:p w:rsidR="00CB6ADA" w:rsidRDefault="00EE1C7B" w:rsidP="008D74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1D6483" w:rsidRPr="001D6483">
        <w:rPr>
          <w:rFonts w:ascii="Times New Roman" w:hAnsi="Times New Roman" w:cs="Times New Roman"/>
          <w:sz w:val="24"/>
          <w:szCs w:val="24"/>
        </w:rPr>
        <w:t>h</w:t>
      </w:r>
      <w:r w:rsidR="007B0C41">
        <w:rPr>
          <w:rFonts w:ascii="Times New Roman" w:hAnsi="Times New Roman" w:cs="Times New Roman"/>
          <w:sz w:val="24"/>
          <w:szCs w:val="24"/>
        </w:rPr>
        <w:t>e design and management of transactions</w:t>
      </w:r>
      <w:r w:rsidR="001D6483" w:rsidRPr="001D6483">
        <w:rPr>
          <w:rFonts w:ascii="Times New Roman" w:hAnsi="Times New Roman" w:cs="Times New Roman"/>
          <w:sz w:val="24"/>
          <w:szCs w:val="24"/>
        </w:rPr>
        <w:t xml:space="preserve"> </w:t>
      </w:r>
      <w:r w:rsidR="0013267F">
        <w:rPr>
          <w:rFonts w:ascii="Times New Roman" w:hAnsi="Times New Roman" w:cs="Times New Roman"/>
          <w:sz w:val="24"/>
          <w:szCs w:val="24"/>
        </w:rPr>
        <w:t>is especially</w:t>
      </w:r>
      <w:r>
        <w:rPr>
          <w:rFonts w:ascii="Times New Roman" w:hAnsi="Times New Roman" w:cs="Times New Roman"/>
          <w:sz w:val="24"/>
          <w:szCs w:val="24"/>
        </w:rPr>
        <w:t xml:space="preserve"> significant</w:t>
      </w:r>
      <w:r w:rsidR="001D6483" w:rsidRPr="001D6483">
        <w:rPr>
          <w:rFonts w:ascii="Times New Roman" w:hAnsi="Times New Roman" w:cs="Times New Roman"/>
          <w:sz w:val="24"/>
          <w:szCs w:val="24"/>
        </w:rPr>
        <w:t xml:space="preserve"> in the public sector</w:t>
      </w:r>
      <w:r>
        <w:rPr>
          <w:rFonts w:ascii="Times New Roman" w:hAnsi="Times New Roman" w:cs="Times New Roman"/>
          <w:sz w:val="24"/>
          <w:szCs w:val="24"/>
        </w:rPr>
        <w:t xml:space="preserve">, </w:t>
      </w:r>
      <w:r w:rsidR="001D6483" w:rsidRPr="001D6483">
        <w:rPr>
          <w:rFonts w:ascii="Times New Roman" w:hAnsi="Times New Roman" w:cs="Times New Roman"/>
          <w:sz w:val="24"/>
          <w:szCs w:val="24"/>
        </w:rPr>
        <w:t>where polici</w:t>
      </w:r>
      <w:r w:rsidR="006A1C76">
        <w:rPr>
          <w:rFonts w:ascii="Times New Roman" w:hAnsi="Times New Roman" w:cs="Times New Roman"/>
          <w:sz w:val="24"/>
          <w:szCs w:val="24"/>
        </w:rPr>
        <w:t xml:space="preserve">es create programmes that </w:t>
      </w:r>
      <w:r w:rsidR="001D6483" w:rsidRPr="001D6483">
        <w:rPr>
          <w:rFonts w:ascii="Times New Roman" w:hAnsi="Times New Roman" w:cs="Times New Roman"/>
          <w:sz w:val="24"/>
          <w:szCs w:val="24"/>
        </w:rPr>
        <w:t>run over a number of years</w:t>
      </w:r>
      <w:r w:rsidR="00013B35">
        <w:rPr>
          <w:rFonts w:ascii="Times New Roman" w:hAnsi="Times New Roman" w:cs="Times New Roman"/>
          <w:sz w:val="24"/>
          <w:szCs w:val="24"/>
        </w:rPr>
        <w:t>,</w:t>
      </w:r>
      <w:r w:rsidR="0013267F">
        <w:rPr>
          <w:rFonts w:ascii="Times New Roman" w:hAnsi="Times New Roman" w:cs="Times New Roman"/>
          <w:sz w:val="24"/>
          <w:szCs w:val="24"/>
        </w:rPr>
        <w:t xml:space="preserve"> </w:t>
      </w:r>
      <w:r w:rsidR="00D4108C">
        <w:rPr>
          <w:rFonts w:ascii="Times New Roman" w:hAnsi="Times New Roman" w:cs="Times New Roman"/>
          <w:sz w:val="24"/>
          <w:szCs w:val="24"/>
        </w:rPr>
        <w:t>disburs</w:t>
      </w:r>
      <w:r w:rsidR="0013267F">
        <w:rPr>
          <w:rFonts w:ascii="Times New Roman" w:hAnsi="Times New Roman" w:cs="Times New Roman"/>
          <w:sz w:val="24"/>
          <w:szCs w:val="24"/>
        </w:rPr>
        <w:t>ing</w:t>
      </w:r>
      <w:r w:rsidR="00A9164B">
        <w:rPr>
          <w:rFonts w:ascii="Times New Roman" w:hAnsi="Times New Roman" w:cs="Times New Roman"/>
          <w:sz w:val="24"/>
          <w:szCs w:val="24"/>
        </w:rPr>
        <w:t xml:space="preserve"> large </w:t>
      </w:r>
      <w:r w:rsidR="00D4108C">
        <w:rPr>
          <w:rFonts w:ascii="Times New Roman" w:hAnsi="Times New Roman" w:cs="Times New Roman"/>
          <w:sz w:val="24"/>
          <w:szCs w:val="24"/>
        </w:rPr>
        <w:t>amounts</w:t>
      </w:r>
      <w:r w:rsidR="00A9164B">
        <w:rPr>
          <w:rFonts w:ascii="Times New Roman" w:hAnsi="Times New Roman" w:cs="Times New Roman"/>
          <w:sz w:val="24"/>
          <w:szCs w:val="24"/>
        </w:rPr>
        <w:t xml:space="preserve"> of public funding</w:t>
      </w:r>
      <w:r w:rsidR="00094F51">
        <w:rPr>
          <w:rFonts w:ascii="Times New Roman" w:hAnsi="Times New Roman" w:cs="Times New Roman"/>
          <w:sz w:val="24"/>
          <w:szCs w:val="24"/>
        </w:rPr>
        <w:t>.</w:t>
      </w:r>
      <w:r w:rsidR="00B01C75">
        <w:rPr>
          <w:rFonts w:ascii="Times New Roman" w:hAnsi="Times New Roman" w:cs="Times New Roman"/>
          <w:sz w:val="24"/>
          <w:szCs w:val="24"/>
        </w:rPr>
        <w:t xml:space="preserve"> </w:t>
      </w:r>
      <w:r w:rsidR="00D93E8D">
        <w:rPr>
          <w:rFonts w:ascii="Times New Roman" w:hAnsi="Times New Roman" w:cs="Times New Roman"/>
          <w:sz w:val="24"/>
          <w:szCs w:val="24"/>
        </w:rPr>
        <w:t xml:space="preserve">A </w:t>
      </w:r>
      <w:r w:rsidR="00284E45">
        <w:rPr>
          <w:rFonts w:ascii="Times New Roman" w:hAnsi="Times New Roman" w:cs="Times New Roman"/>
          <w:sz w:val="24"/>
          <w:szCs w:val="24"/>
        </w:rPr>
        <w:t xml:space="preserve">limited </w:t>
      </w:r>
      <w:r w:rsidR="00D93E8D">
        <w:rPr>
          <w:rFonts w:ascii="Times New Roman" w:hAnsi="Times New Roman" w:cs="Times New Roman"/>
          <w:sz w:val="24"/>
          <w:szCs w:val="24"/>
        </w:rPr>
        <w:t>number of studies ha</w:t>
      </w:r>
      <w:r w:rsidR="00F82625">
        <w:rPr>
          <w:rFonts w:ascii="Times New Roman" w:hAnsi="Times New Roman" w:cs="Times New Roman"/>
          <w:sz w:val="24"/>
          <w:szCs w:val="24"/>
        </w:rPr>
        <w:t>ve</w:t>
      </w:r>
      <w:r w:rsidR="00D93E8D">
        <w:rPr>
          <w:rFonts w:ascii="Times New Roman" w:hAnsi="Times New Roman" w:cs="Times New Roman"/>
          <w:sz w:val="24"/>
          <w:szCs w:val="24"/>
        </w:rPr>
        <w:t xml:space="preserve"> examined </w:t>
      </w:r>
      <w:r w:rsidR="004D1121">
        <w:rPr>
          <w:rFonts w:ascii="Times New Roman" w:hAnsi="Times New Roman" w:cs="Times New Roman"/>
          <w:sz w:val="24"/>
          <w:szCs w:val="24"/>
        </w:rPr>
        <w:t>transaction</w:t>
      </w:r>
      <w:r w:rsidR="00AE28C2">
        <w:rPr>
          <w:rFonts w:ascii="Times New Roman" w:hAnsi="Times New Roman" w:cs="Times New Roman"/>
          <w:sz w:val="24"/>
          <w:szCs w:val="24"/>
        </w:rPr>
        <w:t xml:space="preserve"> costs</w:t>
      </w:r>
      <w:r w:rsidR="004D1121">
        <w:rPr>
          <w:rFonts w:ascii="Times New Roman" w:hAnsi="Times New Roman" w:cs="Times New Roman"/>
          <w:sz w:val="24"/>
          <w:szCs w:val="24"/>
        </w:rPr>
        <w:t xml:space="preserve"> </w:t>
      </w:r>
      <w:r w:rsidR="00D93E8D">
        <w:rPr>
          <w:rFonts w:ascii="Times New Roman" w:hAnsi="Times New Roman" w:cs="Times New Roman"/>
          <w:sz w:val="24"/>
          <w:szCs w:val="24"/>
        </w:rPr>
        <w:t xml:space="preserve">in respect of rural </w:t>
      </w:r>
      <w:r w:rsidR="00352727">
        <w:rPr>
          <w:rFonts w:ascii="Times New Roman" w:hAnsi="Times New Roman" w:cs="Times New Roman"/>
          <w:sz w:val="24"/>
          <w:szCs w:val="24"/>
        </w:rPr>
        <w:t>policy</w:t>
      </w:r>
      <w:r w:rsidR="00D93E8D">
        <w:rPr>
          <w:rFonts w:ascii="Times New Roman" w:hAnsi="Times New Roman" w:cs="Times New Roman"/>
          <w:sz w:val="24"/>
          <w:szCs w:val="24"/>
        </w:rPr>
        <w:t xml:space="preserve"> initiatives,</w:t>
      </w:r>
      <w:r w:rsidR="00F82625">
        <w:rPr>
          <w:rFonts w:ascii="Times New Roman" w:hAnsi="Times New Roman" w:cs="Times New Roman"/>
          <w:sz w:val="24"/>
          <w:szCs w:val="24"/>
        </w:rPr>
        <w:t xml:space="preserve"> most</w:t>
      </w:r>
      <w:r w:rsidR="00D93E8D">
        <w:rPr>
          <w:rFonts w:ascii="Times New Roman" w:hAnsi="Times New Roman" w:cs="Times New Roman"/>
          <w:sz w:val="24"/>
          <w:szCs w:val="24"/>
        </w:rPr>
        <w:t xml:space="preserve"> notably</w:t>
      </w:r>
      <w:r w:rsidR="005F3BDA">
        <w:rPr>
          <w:rFonts w:ascii="Times New Roman" w:hAnsi="Times New Roman" w:cs="Times New Roman"/>
          <w:sz w:val="24"/>
          <w:szCs w:val="24"/>
        </w:rPr>
        <w:t xml:space="preserve"> Agri-E</w:t>
      </w:r>
      <w:r w:rsidR="00D93E8D">
        <w:rPr>
          <w:rFonts w:ascii="Times New Roman" w:hAnsi="Times New Roman" w:cs="Times New Roman"/>
          <w:sz w:val="24"/>
          <w:szCs w:val="24"/>
        </w:rPr>
        <w:t xml:space="preserve">nvironment </w:t>
      </w:r>
      <w:r w:rsidR="005F3BDA">
        <w:rPr>
          <w:rFonts w:ascii="Times New Roman" w:hAnsi="Times New Roman" w:cs="Times New Roman"/>
          <w:sz w:val="24"/>
          <w:szCs w:val="24"/>
        </w:rPr>
        <w:t>S</w:t>
      </w:r>
      <w:r w:rsidR="00D93E8D">
        <w:rPr>
          <w:rFonts w:ascii="Times New Roman" w:hAnsi="Times New Roman" w:cs="Times New Roman"/>
          <w:sz w:val="24"/>
          <w:szCs w:val="24"/>
        </w:rPr>
        <w:t>chemes (</w:t>
      </w:r>
      <w:r w:rsidR="005F3BDA">
        <w:rPr>
          <w:rFonts w:ascii="Times New Roman" w:hAnsi="Times New Roman" w:cs="Times New Roman"/>
          <w:sz w:val="24"/>
          <w:szCs w:val="24"/>
        </w:rPr>
        <w:t>AESs</w:t>
      </w:r>
      <w:r w:rsidR="00F82625">
        <w:rPr>
          <w:rFonts w:ascii="Times New Roman" w:hAnsi="Times New Roman" w:cs="Times New Roman"/>
          <w:sz w:val="24"/>
          <w:szCs w:val="24"/>
        </w:rPr>
        <w:t>)</w:t>
      </w:r>
      <w:r w:rsidR="000B0F42">
        <w:rPr>
          <w:rFonts w:ascii="Times New Roman" w:hAnsi="Times New Roman" w:cs="Times New Roman"/>
          <w:sz w:val="24"/>
          <w:szCs w:val="24"/>
        </w:rPr>
        <w:t xml:space="preserve"> </w:t>
      </w:r>
      <w:r w:rsidR="00F82625">
        <w:rPr>
          <w:rFonts w:ascii="Times New Roman" w:hAnsi="Times New Roman" w:cs="Times New Roman"/>
          <w:sz w:val="24"/>
          <w:szCs w:val="24"/>
        </w:rPr>
        <w:t>(</w:t>
      </w:r>
      <w:r w:rsidR="000B0F42">
        <w:rPr>
          <w:rFonts w:ascii="Times New Roman" w:hAnsi="Times New Roman" w:cs="Times New Roman"/>
          <w:sz w:val="24"/>
          <w:szCs w:val="24"/>
        </w:rPr>
        <w:t xml:space="preserve">Falconer and Whitby, 1999, </w:t>
      </w:r>
      <w:r w:rsidR="00352727">
        <w:rPr>
          <w:rFonts w:ascii="Times New Roman" w:hAnsi="Times New Roman" w:cs="Times New Roman"/>
          <w:sz w:val="24"/>
          <w:szCs w:val="24"/>
        </w:rPr>
        <w:t>F</w:t>
      </w:r>
      <w:r w:rsidR="000B0F42" w:rsidRPr="00413E1D">
        <w:rPr>
          <w:rFonts w:ascii="Times New Roman" w:hAnsi="Times New Roman" w:cs="Times New Roman"/>
          <w:sz w:val="24"/>
          <w:szCs w:val="24"/>
        </w:rPr>
        <w:t>alconer, 2000</w:t>
      </w:r>
      <w:r w:rsidR="00D93E8D">
        <w:rPr>
          <w:rFonts w:ascii="Times New Roman" w:hAnsi="Times New Roman" w:cs="Times New Roman"/>
          <w:sz w:val="24"/>
          <w:szCs w:val="24"/>
        </w:rPr>
        <w:t xml:space="preserve">; </w:t>
      </w:r>
      <w:r w:rsidR="000B0F42">
        <w:rPr>
          <w:rFonts w:ascii="Times New Roman" w:hAnsi="Times New Roman" w:cs="Times New Roman"/>
          <w:sz w:val="24"/>
          <w:szCs w:val="24"/>
        </w:rPr>
        <w:t xml:space="preserve">Franks, 2011, </w:t>
      </w:r>
      <w:r w:rsidR="00221CE1" w:rsidRPr="00413E1D">
        <w:rPr>
          <w:rFonts w:ascii="Times New Roman" w:hAnsi="Times New Roman" w:cs="Times New Roman"/>
          <w:sz w:val="24"/>
          <w:szCs w:val="24"/>
        </w:rPr>
        <w:t xml:space="preserve">Mettepenningen </w:t>
      </w:r>
      <w:r w:rsidR="00221CE1" w:rsidRPr="0042243B">
        <w:rPr>
          <w:rFonts w:ascii="Times New Roman" w:hAnsi="Times New Roman" w:cs="Times New Roman"/>
          <w:bCs/>
          <w:i/>
          <w:sz w:val="24"/>
          <w:szCs w:val="24"/>
        </w:rPr>
        <w:t>et al</w:t>
      </w:r>
      <w:r w:rsidR="00221CE1">
        <w:rPr>
          <w:rFonts w:ascii="Times New Roman" w:hAnsi="Times New Roman" w:cs="Times New Roman"/>
          <w:bCs/>
          <w:i/>
          <w:sz w:val="24"/>
          <w:szCs w:val="24"/>
        </w:rPr>
        <w:t>.</w:t>
      </w:r>
      <w:r w:rsidR="00221CE1" w:rsidRPr="0042243B">
        <w:rPr>
          <w:rFonts w:ascii="Times New Roman" w:hAnsi="Times New Roman" w:cs="Times New Roman"/>
          <w:bCs/>
          <w:i/>
          <w:sz w:val="24"/>
          <w:szCs w:val="24"/>
        </w:rPr>
        <w:t>,</w:t>
      </w:r>
      <w:r w:rsidR="00221CE1">
        <w:rPr>
          <w:rFonts w:ascii="Times New Roman" w:hAnsi="Times New Roman" w:cs="Times New Roman"/>
          <w:sz w:val="24"/>
          <w:szCs w:val="24"/>
        </w:rPr>
        <w:t xml:space="preserve"> </w:t>
      </w:r>
      <w:r w:rsidR="00221CE1" w:rsidRPr="00413E1D">
        <w:rPr>
          <w:rFonts w:ascii="Times New Roman" w:hAnsi="Times New Roman" w:cs="Times New Roman"/>
          <w:sz w:val="24"/>
          <w:szCs w:val="24"/>
        </w:rPr>
        <w:t>2011</w:t>
      </w:r>
      <w:r w:rsidR="00D93E8D">
        <w:rPr>
          <w:rFonts w:ascii="Times New Roman" w:hAnsi="Times New Roman" w:cs="Times New Roman"/>
          <w:sz w:val="24"/>
          <w:szCs w:val="24"/>
        </w:rPr>
        <w:t>)</w:t>
      </w:r>
      <w:r w:rsidR="008E6D98">
        <w:rPr>
          <w:rFonts w:ascii="Times New Roman" w:hAnsi="Times New Roman" w:cs="Times New Roman"/>
          <w:sz w:val="24"/>
          <w:szCs w:val="24"/>
        </w:rPr>
        <w:t xml:space="preserve">, and the </w:t>
      </w:r>
      <w:r w:rsidR="00D82EED" w:rsidRPr="00413E1D">
        <w:rPr>
          <w:rFonts w:ascii="Times New Roman" w:hAnsi="Times New Roman" w:cs="Times New Roman"/>
          <w:sz w:val="24"/>
          <w:szCs w:val="24"/>
        </w:rPr>
        <w:t>delivery</w:t>
      </w:r>
      <w:r w:rsidR="00EC5EEC" w:rsidRPr="00413E1D">
        <w:rPr>
          <w:rFonts w:ascii="Times New Roman" w:hAnsi="Times New Roman" w:cs="Times New Roman"/>
          <w:sz w:val="24"/>
          <w:szCs w:val="24"/>
        </w:rPr>
        <w:t xml:space="preserve"> </w:t>
      </w:r>
      <w:r w:rsidR="008E6D98">
        <w:rPr>
          <w:rFonts w:ascii="Times New Roman" w:hAnsi="Times New Roman" w:cs="Times New Roman"/>
          <w:sz w:val="24"/>
          <w:szCs w:val="24"/>
        </w:rPr>
        <w:t xml:space="preserve">of </w:t>
      </w:r>
      <w:r w:rsidR="008C66C0" w:rsidRPr="008636F3">
        <w:rPr>
          <w:rFonts w:ascii="Times New Roman" w:hAnsi="Times New Roman" w:cs="Times New Roman"/>
          <w:sz w:val="24"/>
          <w:szCs w:val="24"/>
        </w:rPr>
        <w:t xml:space="preserve">rural </w:t>
      </w:r>
      <w:r w:rsidR="008E6D98">
        <w:rPr>
          <w:rFonts w:ascii="Times New Roman" w:hAnsi="Times New Roman" w:cs="Times New Roman"/>
          <w:sz w:val="24"/>
          <w:szCs w:val="24"/>
        </w:rPr>
        <w:t>services</w:t>
      </w:r>
      <w:r w:rsidR="008C66C0" w:rsidRPr="008636F3">
        <w:rPr>
          <w:rFonts w:ascii="Times New Roman" w:hAnsi="Times New Roman" w:cs="Times New Roman"/>
          <w:sz w:val="24"/>
          <w:szCs w:val="24"/>
        </w:rPr>
        <w:t xml:space="preserve"> (Curry, 2012</w:t>
      </w:r>
      <w:r w:rsidR="008E6D98">
        <w:rPr>
          <w:rFonts w:ascii="Times New Roman" w:hAnsi="Times New Roman" w:cs="Times New Roman"/>
          <w:sz w:val="24"/>
          <w:szCs w:val="24"/>
        </w:rPr>
        <w:t>).</w:t>
      </w:r>
      <w:r w:rsidR="00D93E8D">
        <w:rPr>
          <w:rFonts w:ascii="Times New Roman" w:hAnsi="Times New Roman" w:cs="Times New Roman"/>
          <w:sz w:val="24"/>
          <w:szCs w:val="24"/>
        </w:rPr>
        <w:t xml:space="preserve"> </w:t>
      </w:r>
      <w:r w:rsidR="00F43FB3">
        <w:rPr>
          <w:rFonts w:ascii="Times New Roman" w:hAnsi="Times New Roman" w:cs="Times New Roman"/>
          <w:sz w:val="24"/>
          <w:szCs w:val="24"/>
        </w:rPr>
        <w:t>T</w:t>
      </w:r>
      <w:r w:rsidR="00E67A2A">
        <w:rPr>
          <w:rFonts w:ascii="Times New Roman" w:hAnsi="Times New Roman" w:cs="Times New Roman"/>
          <w:sz w:val="24"/>
          <w:szCs w:val="24"/>
        </w:rPr>
        <w:t xml:space="preserve">able 1 </w:t>
      </w:r>
      <w:r w:rsidR="00F43FB3">
        <w:rPr>
          <w:rFonts w:ascii="Times New Roman" w:hAnsi="Times New Roman" w:cs="Times New Roman"/>
          <w:sz w:val="24"/>
          <w:szCs w:val="24"/>
        </w:rPr>
        <w:t>summarise</w:t>
      </w:r>
      <w:r w:rsidR="00E67A2A">
        <w:rPr>
          <w:rFonts w:ascii="Times New Roman" w:hAnsi="Times New Roman" w:cs="Times New Roman"/>
          <w:sz w:val="24"/>
          <w:szCs w:val="24"/>
        </w:rPr>
        <w:t>s</w:t>
      </w:r>
      <w:r w:rsidR="00CB6ADA">
        <w:rPr>
          <w:rFonts w:ascii="Times New Roman" w:hAnsi="Times New Roman" w:cs="Times New Roman"/>
          <w:sz w:val="24"/>
          <w:szCs w:val="24"/>
        </w:rPr>
        <w:t xml:space="preserve"> </w:t>
      </w:r>
      <w:r w:rsidR="006346B4">
        <w:rPr>
          <w:rFonts w:ascii="Times New Roman" w:hAnsi="Times New Roman" w:cs="Times New Roman"/>
          <w:sz w:val="24"/>
          <w:szCs w:val="24"/>
        </w:rPr>
        <w:t xml:space="preserve">some features of </w:t>
      </w:r>
      <w:r w:rsidR="00DA642A">
        <w:rPr>
          <w:rFonts w:ascii="Times New Roman" w:hAnsi="Times New Roman" w:cs="Times New Roman"/>
          <w:sz w:val="24"/>
          <w:szCs w:val="24"/>
        </w:rPr>
        <w:t xml:space="preserve">this </w:t>
      </w:r>
      <w:r w:rsidR="007A3640">
        <w:rPr>
          <w:rFonts w:ascii="Times New Roman" w:hAnsi="Times New Roman" w:cs="Times New Roman"/>
          <w:sz w:val="24"/>
          <w:szCs w:val="24"/>
        </w:rPr>
        <w:t xml:space="preserve">literature, </w:t>
      </w:r>
      <w:r w:rsidR="00E74E8C">
        <w:rPr>
          <w:rFonts w:ascii="Times New Roman" w:hAnsi="Times New Roman" w:cs="Times New Roman"/>
          <w:sz w:val="24"/>
          <w:szCs w:val="24"/>
        </w:rPr>
        <w:t xml:space="preserve">using </w:t>
      </w:r>
      <w:r w:rsidR="00DA642A">
        <w:rPr>
          <w:rFonts w:ascii="Times New Roman" w:hAnsi="Times New Roman" w:cs="Times New Roman"/>
          <w:sz w:val="24"/>
          <w:szCs w:val="24"/>
        </w:rPr>
        <w:t>the</w:t>
      </w:r>
      <w:r w:rsidR="006346B4">
        <w:rPr>
          <w:rFonts w:ascii="Times New Roman" w:hAnsi="Times New Roman" w:cs="Times New Roman"/>
          <w:sz w:val="24"/>
          <w:szCs w:val="24"/>
        </w:rPr>
        <w:t xml:space="preserve"> </w:t>
      </w:r>
      <w:r w:rsidR="00671972">
        <w:rPr>
          <w:rFonts w:ascii="Times New Roman" w:hAnsi="Times New Roman" w:cs="Times New Roman"/>
          <w:sz w:val="24"/>
          <w:szCs w:val="24"/>
        </w:rPr>
        <w:t xml:space="preserve">process </w:t>
      </w:r>
      <w:r w:rsidR="006346B4">
        <w:rPr>
          <w:rFonts w:ascii="Times New Roman" w:hAnsi="Times New Roman" w:cs="Times New Roman"/>
          <w:sz w:val="24"/>
          <w:szCs w:val="24"/>
        </w:rPr>
        <w:t xml:space="preserve">classification </w:t>
      </w:r>
      <w:r w:rsidR="00DA642A">
        <w:rPr>
          <w:rFonts w:ascii="Times New Roman" w:hAnsi="Times New Roman" w:cs="Times New Roman"/>
          <w:sz w:val="24"/>
          <w:szCs w:val="24"/>
        </w:rPr>
        <w:t>developed in</w:t>
      </w:r>
      <w:r w:rsidR="00326FDD">
        <w:rPr>
          <w:rFonts w:ascii="Times New Roman" w:hAnsi="Times New Roman" w:cs="Times New Roman"/>
          <w:sz w:val="24"/>
          <w:szCs w:val="24"/>
        </w:rPr>
        <w:t xml:space="preserve"> </w:t>
      </w:r>
      <w:r w:rsidR="00C1756D">
        <w:rPr>
          <w:rFonts w:ascii="Times New Roman" w:hAnsi="Times New Roman" w:cs="Times New Roman"/>
          <w:sz w:val="24"/>
          <w:szCs w:val="24"/>
        </w:rPr>
        <w:t>Coggan et al</w:t>
      </w:r>
      <w:r w:rsidR="00326FDD">
        <w:rPr>
          <w:rFonts w:ascii="Times New Roman" w:hAnsi="Times New Roman" w:cs="Times New Roman"/>
          <w:sz w:val="24"/>
          <w:szCs w:val="24"/>
        </w:rPr>
        <w:t>.</w:t>
      </w:r>
      <w:r w:rsidR="00DA642A">
        <w:rPr>
          <w:rFonts w:ascii="Times New Roman" w:hAnsi="Times New Roman" w:cs="Times New Roman"/>
          <w:sz w:val="24"/>
          <w:szCs w:val="24"/>
        </w:rPr>
        <w:t xml:space="preserve"> (</w:t>
      </w:r>
      <w:r w:rsidR="00C1756D" w:rsidRPr="00C1756D">
        <w:rPr>
          <w:rFonts w:ascii="Times New Roman" w:hAnsi="Times New Roman" w:cs="Times New Roman"/>
          <w:sz w:val="24"/>
          <w:szCs w:val="24"/>
        </w:rPr>
        <w:t>2010)</w:t>
      </w:r>
      <w:r w:rsidR="001D6483">
        <w:rPr>
          <w:rFonts w:ascii="Times New Roman" w:hAnsi="Times New Roman" w:cs="Times New Roman"/>
          <w:sz w:val="24"/>
          <w:szCs w:val="24"/>
        </w:rPr>
        <w:t>.</w:t>
      </w:r>
      <w:r w:rsidR="00221CE1" w:rsidRPr="00CB6ADA">
        <w:rPr>
          <w:rFonts w:ascii="Times New Roman" w:hAnsi="Times New Roman" w:cs="Times New Roman"/>
          <w:sz w:val="24"/>
          <w:szCs w:val="24"/>
        </w:rPr>
        <w:t xml:space="preserve"> </w:t>
      </w:r>
      <w:r w:rsidR="00E74E8C">
        <w:rPr>
          <w:rFonts w:ascii="Times New Roman" w:hAnsi="Times New Roman" w:cs="Times New Roman"/>
          <w:sz w:val="24"/>
          <w:szCs w:val="24"/>
        </w:rPr>
        <w:t xml:space="preserve"> </w:t>
      </w:r>
      <w:r w:rsidR="001D6483">
        <w:rPr>
          <w:rFonts w:ascii="Times New Roman" w:hAnsi="Times New Roman" w:cs="Times New Roman"/>
          <w:sz w:val="24"/>
          <w:szCs w:val="24"/>
        </w:rPr>
        <w:t xml:space="preserve">The </w:t>
      </w:r>
      <w:r w:rsidR="00447DBF">
        <w:rPr>
          <w:rFonts w:ascii="Times New Roman" w:hAnsi="Times New Roman" w:cs="Times New Roman"/>
          <w:sz w:val="24"/>
          <w:szCs w:val="24"/>
        </w:rPr>
        <w:t>studies</w:t>
      </w:r>
      <w:r w:rsidR="008550E3">
        <w:rPr>
          <w:rFonts w:ascii="Times New Roman" w:hAnsi="Times New Roman" w:cs="Times New Roman"/>
          <w:sz w:val="24"/>
          <w:szCs w:val="24"/>
        </w:rPr>
        <w:t xml:space="preserve"> </w:t>
      </w:r>
      <w:r w:rsidR="00671972">
        <w:rPr>
          <w:rFonts w:ascii="Times New Roman" w:hAnsi="Times New Roman" w:cs="Times New Roman"/>
          <w:sz w:val="24"/>
          <w:szCs w:val="24"/>
        </w:rPr>
        <w:t>identify</w:t>
      </w:r>
      <w:r w:rsidR="00E77DE6">
        <w:rPr>
          <w:rFonts w:ascii="Times New Roman" w:hAnsi="Times New Roman" w:cs="Times New Roman"/>
          <w:sz w:val="24"/>
          <w:szCs w:val="24"/>
        </w:rPr>
        <w:t xml:space="preserve"> in particular the </w:t>
      </w:r>
      <w:r w:rsidR="00681CC0">
        <w:rPr>
          <w:rFonts w:ascii="Times New Roman" w:hAnsi="Times New Roman" w:cs="Times New Roman"/>
          <w:sz w:val="24"/>
          <w:szCs w:val="24"/>
        </w:rPr>
        <w:t xml:space="preserve">transaction </w:t>
      </w:r>
      <w:r w:rsidR="009A406D">
        <w:rPr>
          <w:rFonts w:ascii="Times New Roman" w:hAnsi="Times New Roman" w:cs="Times New Roman"/>
          <w:sz w:val="24"/>
          <w:szCs w:val="24"/>
        </w:rPr>
        <w:t>costs</w:t>
      </w:r>
      <w:r w:rsidR="00CB6ADA">
        <w:rPr>
          <w:rFonts w:ascii="Times New Roman" w:hAnsi="Times New Roman" w:cs="Times New Roman"/>
          <w:sz w:val="24"/>
          <w:szCs w:val="24"/>
        </w:rPr>
        <w:t xml:space="preserve"> associated with establishing framework</w:t>
      </w:r>
      <w:r w:rsidR="00671972">
        <w:rPr>
          <w:rFonts w:ascii="Times New Roman" w:hAnsi="Times New Roman" w:cs="Times New Roman"/>
          <w:sz w:val="24"/>
          <w:szCs w:val="24"/>
        </w:rPr>
        <w:t>s</w:t>
      </w:r>
      <w:r w:rsidR="00CB6ADA">
        <w:rPr>
          <w:rFonts w:ascii="Times New Roman" w:hAnsi="Times New Roman" w:cs="Times New Roman"/>
          <w:sz w:val="24"/>
          <w:szCs w:val="24"/>
        </w:rPr>
        <w:t xml:space="preserve"> for exchange</w:t>
      </w:r>
      <w:r w:rsidR="00E77DE6">
        <w:rPr>
          <w:rFonts w:ascii="Times New Roman" w:hAnsi="Times New Roman" w:cs="Times New Roman"/>
          <w:sz w:val="24"/>
          <w:szCs w:val="24"/>
        </w:rPr>
        <w:t xml:space="preserve"> of knowledge</w:t>
      </w:r>
      <w:r w:rsidR="005F44F9">
        <w:rPr>
          <w:rFonts w:ascii="Times New Roman" w:hAnsi="Times New Roman" w:cs="Times New Roman"/>
          <w:sz w:val="24"/>
          <w:szCs w:val="24"/>
        </w:rPr>
        <w:t xml:space="preserve"> and information</w:t>
      </w:r>
      <w:r w:rsidR="006B7007">
        <w:rPr>
          <w:rFonts w:ascii="Times New Roman" w:hAnsi="Times New Roman" w:cs="Times New Roman"/>
          <w:sz w:val="24"/>
          <w:szCs w:val="24"/>
        </w:rPr>
        <w:t>,</w:t>
      </w:r>
      <w:r w:rsidR="00E77DE6">
        <w:rPr>
          <w:rFonts w:ascii="Times New Roman" w:hAnsi="Times New Roman" w:cs="Times New Roman"/>
          <w:sz w:val="24"/>
          <w:szCs w:val="24"/>
        </w:rPr>
        <w:t xml:space="preserve"> and for carrying out contract negotiations</w:t>
      </w:r>
      <w:r w:rsidR="005F44F9">
        <w:rPr>
          <w:rFonts w:ascii="Times New Roman" w:hAnsi="Times New Roman" w:cs="Times New Roman"/>
          <w:sz w:val="24"/>
          <w:szCs w:val="24"/>
        </w:rPr>
        <w:t xml:space="preserve">.  </w:t>
      </w:r>
      <w:r w:rsidR="00013B35">
        <w:rPr>
          <w:rFonts w:ascii="Times New Roman" w:hAnsi="Times New Roman" w:cs="Times New Roman"/>
          <w:sz w:val="24"/>
          <w:szCs w:val="24"/>
        </w:rPr>
        <w:t xml:space="preserve">There has been much less focus on </w:t>
      </w:r>
      <w:r w:rsidR="001D6483">
        <w:rPr>
          <w:rFonts w:ascii="Times New Roman" w:hAnsi="Times New Roman" w:cs="Times New Roman"/>
          <w:sz w:val="24"/>
          <w:szCs w:val="24"/>
        </w:rPr>
        <w:t>examin</w:t>
      </w:r>
      <w:r w:rsidR="00013B35">
        <w:rPr>
          <w:rFonts w:ascii="Times New Roman" w:hAnsi="Times New Roman" w:cs="Times New Roman"/>
          <w:sz w:val="24"/>
          <w:szCs w:val="24"/>
        </w:rPr>
        <w:t>ing</w:t>
      </w:r>
      <w:r w:rsidR="001D6483">
        <w:rPr>
          <w:rFonts w:ascii="Times New Roman" w:hAnsi="Times New Roman" w:cs="Times New Roman"/>
          <w:sz w:val="24"/>
          <w:szCs w:val="24"/>
        </w:rPr>
        <w:t xml:space="preserve"> </w:t>
      </w:r>
      <w:r w:rsidR="00E77DE6">
        <w:rPr>
          <w:rFonts w:ascii="Times New Roman" w:hAnsi="Times New Roman" w:cs="Times New Roman"/>
          <w:sz w:val="24"/>
          <w:szCs w:val="24"/>
        </w:rPr>
        <w:t>the costs arising from asymmetries in perception and understanding of programmes</w:t>
      </w:r>
      <w:r w:rsidR="00180800">
        <w:rPr>
          <w:rFonts w:ascii="Times New Roman" w:hAnsi="Times New Roman" w:cs="Times New Roman"/>
          <w:sz w:val="24"/>
          <w:szCs w:val="24"/>
        </w:rPr>
        <w:t>, although</w:t>
      </w:r>
      <w:r w:rsidR="005F44F9">
        <w:rPr>
          <w:rFonts w:ascii="Times New Roman" w:hAnsi="Times New Roman" w:cs="Times New Roman"/>
          <w:sz w:val="24"/>
          <w:szCs w:val="24"/>
        </w:rPr>
        <w:t xml:space="preserve"> </w:t>
      </w:r>
      <w:r w:rsidR="00180800">
        <w:rPr>
          <w:rFonts w:ascii="Times New Roman" w:hAnsi="Times New Roman" w:cs="Times New Roman"/>
          <w:sz w:val="24"/>
          <w:szCs w:val="24"/>
        </w:rPr>
        <w:t>Fal</w:t>
      </w:r>
      <w:r w:rsidR="005F44F9">
        <w:rPr>
          <w:rFonts w:ascii="Times New Roman" w:hAnsi="Times New Roman" w:cs="Times New Roman"/>
          <w:sz w:val="24"/>
          <w:szCs w:val="24"/>
        </w:rPr>
        <w:t xml:space="preserve">coner </w:t>
      </w:r>
      <w:r w:rsidR="00282801">
        <w:rPr>
          <w:rFonts w:ascii="Times New Roman" w:hAnsi="Times New Roman" w:cs="Times New Roman"/>
          <w:sz w:val="24"/>
          <w:szCs w:val="24"/>
        </w:rPr>
        <w:t xml:space="preserve">and Whitby </w:t>
      </w:r>
      <w:r w:rsidR="00671972">
        <w:rPr>
          <w:rFonts w:ascii="Times New Roman" w:hAnsi="Times New Roman" w:cs="Times New Roman"/>
          <w:sz w:val="24"/>
          <w:szCs w:val="24"/>
        </w:rPr>
        <w:t>(1999) note how</w:t>
      </w:r>
      <w:r w:rsidR="005F44F9">
        <w:rPr>
          <w:rFonts w:ascii="Times New Roman" w:hAnsi="Times New Roman" w:cs="Times New Roman"/>
          <w:sz w:val="24"/>
          <w:szCs w:val="24"/>
        </w:rPr>
        <w:t xml:space="preserve"> administrative transaction costs from some early </w:t>
      </w:r>
      <w:r w:rsidR="00352727">
        <w:rPr>
          <w:rFonts w:ascii="Times New Roman" w:hAnsi="Times New Roman" w:cs="Times New Roman"/>
          <w:sz w:val="24"/>
          <w:szCs w:val="24"/>
        </w:rPr>
        <w:t>AES</w:t>
      </w:r>
      <w:r w:rsidR="005F44F9">
        <w:rPr>
          <w:rFonts w:ascii="Times New Roman" w:hAnsi="Times New Roman" w:cs="Times New Roman"/>
          <w:sz w:val="24"/>
          <w:szCs w:val="24"/>
        </w:rPr>
        <w:t>s ar</w:t>
      </w:r>
      <w:r w:rsidR="006346B4">
        <w:rPr>
          <w:rFonts w:ascii="Times New Roman" w:hAnsi="Times New Roman" w:cs="Times New Roman"/>
          <w:sz w:val="24"/>
          <w:szCs w:val="24"/>
        </w:rPr>
        <w:t>o</w:t>
      </w:r>
      <w:r w:rsidR="005F44F9">
        <w:rPr>
          <w:rFonts w:ascii="Times New Roman" w:hAnsi="Times New Roman" w:cs="Times New Roman"/>
          <w:sz w:val="24"/>
          <w:szCs w:val="24"/>
        </w:rPr>
        <w:t>se due to ‘asymmetry</w:t>
      </w:r>
      <w:r w:rsidR="000B0F42">
        <w:rPr>
          <w:rFonts w:ascii="Times New Roman" w:hAnsi="Times New Roman" w:cs="Times New Roman"/>
          <w:sz w:val="24"/>
          <w:szCs w:val="24"/>
        </w:rPr>
        <w:t xml:space="preserve"> </w:t>
      </w:r>
      <w:r w:rsidR="005F44F9">
        <w:rPr>
          <w:rFonts w:ascii="Times New Roman" w:hAnsi="Times New Roman" w:cs="Times New Roman"/>
          <w:sz w:val="24"/>
          <w:szCs w:val="24"/>
        </w:rPr>
        <w:t xml:space="preserve">of information between land holders and public </w:t>
      </w:r>
      <w:r w:rsidR="008E6D98">
        <w:rPr>
          <w:rFonts w:ascii="Times New Roman" w:hAnsi="Times New Roman" w:cs="Times New Roman"/>
          <w:sz w:val="24"/>
          <w:szCs w:val="24"/>
        </w:rPr>
        <w:t>agencie</w:t>
      </w:r>
      <w:r w:rsidR="008E6D98" w:rsidRPr="008E6D98">
        <w:rPr>
          <w:rFonts w:ascii="Times New Roman" w:hAnsi="Times New Roman" w:cs="Times New Roman"/>
          <w:sz w:val="24"/>
          <w:szCs w:val="24"/>
        </w:rPr>
        <w:t>s’.</w:t>
      </w:r>
      <w:r w:rsidR="008E6D98">
        <w:rPr>
          <w:rFonts w:ascii="Times New Roman" w:hAnsi="Times New Roman" w:cs="Times New Roman"/>
          <w:sz w:val="24"/>
          <w:szCs w:val="24"/>
        </w:rPr>
        <w:t xml:space="preserve"> </w:t>
      </w:r>
    </w:p>
    <w:p w:rsidR="001D6483" w:rsidRDefault="001D6483" w:rsidP="008D745F">
      <w:pPr>
        <w:spacing w:after="0" w:line="360" w:lineRule="auto"/>
        <w:jc w:val="both"/>
        <w:rPr>
          <w:rFonts w:ascii="Times New Roman" w:hAnsi="Times New Roman" w:cs="Times New Roman"/>
          <w:sz w:val="24"/>
          <w:szCs w:val="24"/>
        </w:rPr>
      </w:pPr>
    </w:p>
    <w:p w:rsidR="006B7007" w:rsidRDefault="00352727" w:rsidP="0054469A">
      <w:pPr>
        <w:tabs>
          <w:tab w:val="left" w:pos="19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723C83">
        <w:rPr>
          <w:rFonts w:ascii="Times New Roman" w:hAnsi="Times New Roman" w:cs="Times New Roman"/>
          <w:sz w:val="24"/>
          <w:szCs w:val="24"/>
        </w:rPr>
        <w:t xml:space="preserve">n these studies, </w:t>
      </w:r>
      <w:r w:rsidR="00671972">
        <w:rPr>
          <w:rFonts w:ascii="Times New Roman" w:hAnsi="Times New Roman" w:cs="Times New Roman"/>
          <w:sz w:val="24"/>
          <w:szCs w:val="24"/>
        </w:rPr>
        <w:t>some</w:t>
      </w:r>
      <w:r w:rsidR="00284E45">
        <w:rPr>
          <w:rFonts w:ascii="Times New Roman" w:hAnsi="Times New Roman" w:cs="Times New Roman"/>
          <w:sz w:val="24"/>
          <w:szCs w:val="24"/>
        </w:rPr>
        <w:t xml:space="preserve"> </w:t>
      </w:r>
      <w:r w:rsidR="002130FC">
        <w:rPr>
          <w:rFonts w:ascii="Times New Roman" w:hAnsi="Times New Roman" w:cs="Times New Roman"/>
          <w:sz w:val="24"/>
          <w:szCs w:val="24"/>
        </w:rPr>
        <w:t xml:space="preserve">potential for positive outcomes resulting from better design processes is </w:t>
      </w:r>
      <w:r w:rsidR="00671972">
        <w:rPr>
          <w:rFonts w:ascii="Times New Roman" w:hAnsi="Times New Roman" w:cs="Times New Roman"/>
          <w:sz w:val="24"/>
          <w:szCs w:val="24"/>
        </w:rPr>
        <w:t>identifie</w:t>
      </w:r>
      <w:r w:rsidR="002130FC">
        <w:rPr>
          <w:rFonts w:ascii="Times New Roman" w:hAnsi="Times New Roman" w:cs="Times New Roman"/>
          <w:sz w:val="24"/>
          <w:szCs w:val="24"/>
        </w:rPr>
        <w:t>d</w:t>
      </w:r>
      <w:r w:rsidR="00723C83">
        <w:rPr>
          <w:rFonts w:ascii="Times New Roman" w:hAnsi="Times New Roman" w:cs="Times New Roman"/>
          <w:sz w:val="24"/>
          <w:szCs w:val="24"/>
        </w:rPr>
        <w:t xml:space="preserve">. </w:t>
      </w:r>
      <w:r w:rsidR="008E6D98">
        <w:rPr>
          <w:rFonts w:ascii="Times New Roman" w:hAnsi="Times New Roman" w:cs="Times New Roman"/>
          <w:sz w:val="24"/>
          <w:szCs w:val="24"/>
        </w:rPr>
        <w:t>Mettepingen et al</w:t>
      </w:r>
      <w:r w:rsidR="007A3640">
        <w:rPr>
          <w:rFonts w:ascii="Times New Roman" w:hAnsi="Times New Roman" w:cs="Times New Roman"/>
          <w:sz w:val="24"/>
          <w:szCs w:val="24"/>
        </w:rPr>
        <w:t xml:space="preserve"> </w:t>
      </w:r>
      <w:r w:rsidR="00F82625">
        <w:rPr>
          <w:rFonts w:ascii="Times New Roman" w:hAnsi="Times New Roman" w:cs="Times New Roman"/>
          <w:sz w:val="24"/>
          <w:szCs w:val="24"/>
        </w:rPr>
        <w:t xml:space="preserve">(2011) </w:t>
      </w:r>
      <w:r w:rsidR="007A3640">
        <w:rPr>
          <w:rFonts w:ascii="Times New Roman" w:hAnsi="Times New Roman" w:cs="Times New Roman"/>
          <w:sz w:val="24"/>
          <w:szCs w:val="24"/>
        </w:rPr>
        <w:t>suggest</w:t>
      </w:r>
      <w:r w:rsidR="00EC5EEC" w:rsidRPr="00413E1D">
        <w:rPr>
          <w:rFonts w:ascii="Times New Roman" w:hAnsi="Times New Roman" w:cs="Times New Roman"/>
          <w:sz w:val="24"/>
          <w:szCs w:val="24"/>
        </w:rPr>
        <w:t xml:space="preserve"> </w:t>
      </w:r>
      <w:r w:rsidR="00E67A2A">
        <w:rPr>
          <w:rFonts w:ascii="Times New Roman" w:hAnsi="Times New Roman" w:cs="Times New Roman"/>
          <w:sz w:val="24"/>
          <w:szCs w:val="24"/>
        </w:rPr>
        <w:t xml:space="preserve">that </w:t>
      </w:r>
      <w:r w:rsidR="00D82EED" w:rsidRPr="00413E1D">
        <w:rPr>
          <w:rFonts w:ascii="Times New Roman" w:hAnsi="Times New Roman" w:cs="Times New Roman"/>
          <w:sz w:val="24"/>
          <w:szCs w:val="24"/>
        </w:rPr>
        <w:t>measures designed and delivered in</w:t>
      </w:r>
      <w:r w:rsidR="00EC5EEC" w:rsidRPr="00413E1D">
        <w:rPr>
          <w:rFonts w:ascii="Times New Roman" w:hAnsi="Times New Roman" w:cs="Times New Roman"/>
          <w:sz w:val="24"/>
          <w:szCs w:val="24"/>
        </w:rPr>
        <w:t xml:space="preserve"> </w:t>
      </w:r>
      <w:r w:rsidR="00D82EED" w:rsidRPr="00413E1D">
        <w:rPr>
          <w:rFonts w:ascii="Times New Roman" w:hAnsi="Times New Roman" w:cs="Times New Roman"/>
          <w:sz w:val="24"/>
          <w:szCs w:val="24"/>
        </w:rPr>
        <w:t>close exchange with farmer</w:t>
      </w:r>
      <w:r w:rsidR="00EC5EEC" w:rsidRPr="00413E1D">
        <w:rPr>
          <w:rFonts w:ascii="Times New Roman" w:hAnsi="Times New Roman" w:cs="Times New Roman"/>
          <w:sz w:val="24"/>
          <w:szCs w:val="24"/>
        </w:rPr>
        <w:t>s</w:t>
      </w:r>
      <w:r w:rsidR="00D82EED" w:rsidRPr="00413E1D">
        <w:rPr>
          <w:rFonts w:ascii="Times New Roman" w:hAnsi="Times New Roman" w:cs="Times New Roman"/>
          <w:sz w:val="24"/>
          <w:szCs w:val="24"/>
        </w:rPr>
        <w:t>’ associations, and those</w:t>
      </w:r>
      <w:r w:rsidR="00EC5EEC" w:rsidRPr="00413E1D">
        <w:rPr>
          <w:rFonts w:ascii="Times New Roman" w:hAnsi="Times New Roman" w:cs="Times New Roman"/>
          <w:sz w:val="24"/>
          <w:szCs w:val="24"/>
        </w:rPr>
        <w:t xml:space="preserve"> focus</w:t>
      </w:r>
      <w:r w:rsidR="00D82EED" w:rsidRPr="00413E1D">
        <w:rPr>
          <w:rFonts w:ascii="Times New Roman" w:hAnsi="Times New Roman" w:cs="Times New Roman"/>
          <w:sz w:val="24"/>
          <w:szCs w:val="24"/>
        </w:rPr>
        <w:t>ed</w:t>
      </w:r>
      <w:r w:rsidR="00EC5EEC" w:rsidRPr="00413E1D">
        <w:rPr>
          <w:rFonts w:ascii="Times New Roman" w:hAnsi="Times New Roman" w:cs="Times New Roman"/>
          <w:sz w:val="24"/>
          <w:szCs w:val="24"/>
        </w:rPr>
        <w:t xml:space="preserve"> </w:t>
      </w:r>
      <w:r w:rsidR="00D82EED" w:rsidRPr="00413E1D">
        <w:rPr>
          <w:rFonts w:ascii="Times New Roman" w:hAnsi="Times New Roman" w:cs="Times New Roman"/>
          <w:sz w:val="24"/>
          <w:szCs w:val="24"/>
        </w:rPr>
        <w:t>up</w:t>
      </w:r>
      <w:r w:rsidR="00EC5EEC" w:rsidRPr="00413E1D">
        <w:rPr>
          <w:rFonts w:ascii="Times New Roman" w:hAnsi="Times New Roman" w:cs="Times New Roman"/>
          <w:sz w:val="24"/>
          <w:szCs w:val="24"/>
        </w:rPr>
        <w:t xml:space="preserve">on reducing </w:t>
      </w:r>
      <w:r w:rsidR="002E7846">
        <w:rPr>
          <w:rFonts w:ascii="Times New Roman" w:hAnsi="Times New Roman" w:cs="Times New Roman"/>
          <w:sz w:val="24"/>
          <w:szCs w:val="24"/>
        </w:rPr>
        <w:t xml:space="preserve">the </w:t>
      </w:r>
      <w:r w:rsidR="00EC5EEC" w:rsidRPr="00413E1D">
        <w:rPr>
          <w:rFonts w:ascii="Times New Roman" w:hAnsi="Times New Roman" w:cs="Times New Roman"/>
          <w:sz w:val="24"/>
          <w:szCs w:val="24"/>
        </w:rPr>
        <w:t>negative externalities of f</w:t>
      </w:r>
      <w:r w:rsidR="002E7846">
        <w:rPr>
          <w:rFonts w:ascii="Times New Roman" w:hAnsi="Times New Roman" w:cs="Times New Roman"/>
          <w:sz w:val="24"/>
          <w:szCs w:val="24"/>
        </w:rPr>
        <w:t>arming,</w:t>
      </w:r>
      <w:r w:rsidR="00EC5EEC" w:rsidRPr="00413E1D">
        <w:rPr>
          <w:rFonts w:ascii="Times New Roman" w:hAnsi="Times New Roman" w:cs="Times New Roman"/>
          <w:sz w:val="24"/>
          <w:szCs w:val="24"/>
        </w:rPr>
        <w:t xml:space="preserve"> </w:t>
      </w:r>
      <w:r w:rsidR="00D82EED" w:rsidRPr="00413E1D">
        <w:rPr>
          <w:rFonts w:ascii="Times New Roman" w:hAnsi="Times New Roman" w:cs="Times New Roman"/>
          <w:sz w:val="24"/>
          <w:szCs w:val="24"/>
        </w:rPr>
        <w:t>had relatively low</w:t>
      </w:r>
      <w:r w:rsidR="00EC5EEC" w:rsidRPr="00413E1D">
        <w:rPr>
          <w:rFonts w:ascii="Times New Roman" w:hAnsi="Times New Roman" w:cs="Times New Roman"/>
          <w:sz w:val="24"/>
          <w:szCs w:val="24"/>
        </w:rPr>
        <w:t xml:space="preserve"> transaction costs</w:t>
      </w:r>
      <w:r w:rsidR="002E7846">
        <w:rPr>
          <w:rFonts w:ascii="Times New Roman" w:hAnsi="Times New Roman" w:cs="Times New Roman"/>
          <w:sz w:val="24"/>
          <w:szCs w:val="24"/>
        </w:rPr>
        <w:t xml:space="preserve"> compared to measures designed </w:t>
      </w:r>
      <w:r w:rsidR="002130FC">
        <w:rPr>
          <w:rFonts w:ascii="Times New Roman" w:hAnsi="Times New Roman" w:cs="Times New Roman"/>
          <w:sz w:val="24"/>
          <w:szCs w:val="24"/>
        </w:rPr>
        <w:t>without involving beneficiaries</w:t>
      </w:r>
      <w:r w:rsidR="002E7846">
        <w:rPr>
          <w:rFonts w:ascii="Times New Roman" w:hAnsi="Times New Roman" w:cs="Times New Roman"/>
          <w:sz w:val="24"/>
          <w:szCs w:val="24"/>
        </w:rPr>
        <w:t xml:space="preserve">, and those focused on </w:t>
      </w:r>
      <w:r w:rsidR="001C2D83">
        <w:rPr>
          <w:rFonts w:ascii="Times New Roman" w:hAnsi="Times New Roman" w:cs="Times New Roman"/>
          <w:sz w:val="24"/>
          <w:szCs w:val="24"/>
        </w:rPr>
        <w:t>stimulating positive externalities</w:t>
      </w:r>
      <w:r w:rsidR="00EC5EEC" w:rsidRPr="00413E1D">
        <w:rPr>
          <w:rFonts w:ascii="Times New Roman" w:hAnsi="Times New Roman" w:cs="Times New Roman"/>
          <w:sz w:val="24"/>
          <w:szCs w:val="24"/>
        </w:rPr>
        <w:t xml:space="preserve">. </w:t>
      </w:r>
      <w:r w:rsidR="006C3E6F" w:rsidRPr="00413E1D">
        <w:rPr>
          <w:rFonts w:ascii="Times New Roman" w:hAnsi="Times New Roman" w:cs="Times New Roman"/>
          <w:sz w:val="24"/>
          <w:szCs w:val="24"/>
        </w:rPr>
        <w:t xml:space="preserve"> </w:t>
      </w:r>
      <w:r w:rsidR="00180800">
        <w:rPr>
          <w:rFonts w:ascii="Times New Roman" w:hAnsi="Times New Roman" w:cs="Times New Roman"/>
          <w:sz w:val="24"/>
          <w:szCs w:val="24"/>
        </w:rPr>
        <w:t xml:space="preserve">Falconer </w:t>
      </w:r>
      <w:r w:rsidR="003023F8">
        <w:rPr>
          <w:rFonts w:ascii="Times New Roman" w:hAnsi="Times New Roman" w:cs="Times New Roman"/>
          <w:sz w:val="24"/>
          <w:szCs w:val="24"/>
        </w:rPr>
        <w:t xml:space="preserve">and Whitby </w:t>
      </w:r>
      <w:r w:rsidR="00723C83">
        <w:rPr>
          <w:rFonts w:ascii="Times New Roman" w:hAnsi="Times New Roman" w:cs="Times New Roman"/>
          <w:sz w:val="24"/>
          <w:szCs w:val="24"/>
        </w:rPr>
        <w:t>(1999)</w:t>
      </w:r>
      <w:r w:rsidR="00F82625">
        <w:rPr>
          <w:rFonts w:ascii="Times New Roman" w:hAnsi="Times New Roman" w:cs="Times New Roman"/>
          <w:sz w:val="24"/>
          <w:szCs w:val="24"/>
        </w:rPr>
        <w:t xml:space="preserve"> found evidence in the early implementation of the Countryside Stewardship Scheme in the UK</w:t>
      </w:r>
      <w:r w:rsidR="00723C83">
        <w:rPr>
          <w:rFonts w:ascii="Times New Roman" w:hAnsi="Times New Roman" w:cs="Times New Roman"/>
          <w:sz w:val="24"/>
          <w:szCs w:val="24"/>
        </w:rPr>
        <w:t xml:space="preserve"> </w:t>
      </w:r>
      <w:r w:rsidR="00F82625">
        <w:rPr>
          <w:rFonts w:ascii="Times New Roman" w:hAnsi="Times New Roman" w:cs="Times New Roman"/>
          <w:sz w:val="24"/>
          <w:szCs w:val="24"/>
        </w:rPr>
        <w:t xml:space="preserve">suggesting that </w:t>
      </w:r>
      <w:r w:rsidR="00723C83">
        <w:rPr>
          <w:rFonts w:ascii="Times New Roman" w:hAnsi="Times New Roman" w:cs="Times New Roman"/>
          <w:sz w:val="24"/>
          <w:szCs w:val="24"/>
        </w:rPr>
        <w:t>transaction</w:t>
      </w:r>
      <w:r w:rsidR="00180800">
        <w:rPr>
          <w:rFonts w:ascii="Times New Roman" w:hAnsi="Times New Roman" w:cs="Times New Roman"/>
          <w:sz w:val="24"/>
          <w:szCs w:val="24"/>
        </w:rPr>
        <w:t xml:space="preserve"> costs would decrease over time due to increasing trust between parties, </w:t>
      </w:r>
      <w:r w:rsidR="006346B4">
        <w:rPr>
          <w:rFonts w:ascii="Times New Roman" w:hAnsi="Times New Roman" w:cs="Times New Roman"/>
          <w:sz w:val="24"/>
          <w:szCs w:val="24"/>
        </w:rPr>
        <w:t xml:space="preserve">as well as management </w:t>
      </w:r>
      <w:r w:rsidR="00180800">
        <w:rPr>
          <w:rFonts w:ascii="Times New Roman" w:hAnsi="Times New Roman" w:cs="Times New Roman"/>
          <w:sz w:val="24"/>
          <w:szCs w:val="24"/>
        </w:rPr>
        <w:t>experience and better conservation knowledge</w:t>
      </w:r>
      <w:r w:rsidR="00904E05">
        <w:rPr>
          <w:rFonts w:ascii="Times New Roman" w:hAnsi="Times New Roman" w:cs="Times New Roman"/>
          <w:sz w:val="24"/>
          <w:szCs w:val="24"/>
        </w:rPr>
        <w:t xml:space="preserve"> (i.e. organisational learning)</w:t>
      </w:r>
      <w:r w:rsidR="00F82625">
        <w:rPr>
          <w:rFonts w:ascii="Times New Roman" w:hAnsi="Times New Roman" w:cs="Times New Roman"/>
          <w:sz w:val="24"/>
          <w:szCs w:val="24"/>
        </w:rPr>
        <w:t>.</w:t>
      </w:r>
      <w:r w:rsidR="004E5E30">
        <w:rPr>
          <w:rFonts w:ascii="Times New Roman" w:hAnsi="Times New Roman" w:cs="Times New Roman"/>
          <w:sz w:val="24"/>
          <w:szCs w:val="24"/>
        </w:rPr>
        <w:t xml:space="preserve"> </w:t>
      </w:r>
      <w:r w:rsidR="00F82625">
        <w:rPr>
          <w:rFonts w:ascii="Times New Roman" w:hAnsi="Times New Roman" w:cs="Times New Roman"/>
          <w:sz w:val="24"/>
          <w:szCs w:val="24"/>
        </w:rPr>
        <w:t xml:space="preserve"> </w:t>
      </w:r>
      <w:r w:rsidR="00723C83">
        <w:rPr>
          <w:rFonts w:ascii="Times New Roman" w:hAnsi="Times New Roman" w:cs="Times New Roman"/>
          <w:sz w:val="24"/>
          <w:szCs w:val="24"/>
        </w:rPr>
        <w:t>They</w:t>
      </w:r>
      <w:r w:rsidR="00284E45">
        <w:rPr>
          <w:rFonts w:ascii="Times New Roman" w:hAnsi="Times New Roman" w:cs="Times New Roman"/>
          <w:sz w:val="24"/>
          <w:szCs w:val="24"/>
        </w:rPr>
        <w:t xml:space="preserve"> also</w:t>
      </w:r>
      <w:r w:rsidR="00282801">
        <w:rPr>
          <w:rFonts w:ascii="Times New Roman" w:hAnsi="Times New Roman" w:cs="Times New Roman"/>
          <w:sz w:val="24"/>
          <w:szCs w:val="24"/>
        </w:rPr>
        <w:t xml:space="preserve"> </w:t>
      </w:r>
      <w:r w:rsidR="00D80311">
        <w:rPr>
          <w:rFonts w:ascii="Times New Roman" w:hAnsi="Times New Roman" w:cs="Times New Roman"/>
          <w:sz w:val="24"/>
          <w:szCs w:val="24"/>
        </w:rPr>
        <w:t>identified</w:t>
      </w:r>
      <w:r w:rsidR="00282801">
        <w:rPr>
          <w:rFonts w:ascii="Times New Roman" w:hAnsi="Times New Roman" w:cs="Times New Roman"/>
          <w:sz w:val="24"/>
          <w:szCs w:val="24"/>
        </w:rPr>
        <w:t xml:space="preserve"> </w:t>
      </w:r>
      <w:r w:rsidR="00671972">
        <w:rPr>
          <w:rFonts w:ascii="Times New Roman" w:hAnsi="Times New Roman" w:cs="Times New Roman"/>
          <w:sz w:val="24"/>
          <w:szCs w:val="24"/>
        </w:rPr>
        <w:t>a</w:t>
      </w:r>
      <w:r w:rsidR="00282801">
        <w:rPr>
          <w:rFonts w:ascii="Times New Roman" w:hAnsi="Times New Roman" w:cs="Times New Roman"/>
          <w:sz w:val="24"/>
          <w:szCs w:val="24"/>
        </w:rPr>
        <w:t xml:space="preserve"> ‘positive role’ </w:t>
      </w:r>
      <w:r w:rsidR="00F82625">
        <w:rPr>
          <w:rFonts w:ascii="Times New Roman" w:hAnsi="Times New Roman" w:cs="Times New Roman"/>
          <w:sz w:val="24"/>
          <w:szCs w:val="24"/>
        </w:rPr>
        <w:t>for</w:t>
      </w:r>
      <w:r w:rsidR="00282801">
        <w:rPr>
          <w:rFonts w:ascii="Times New Roman" w:hAnsi="Times New Roman" w:cs="Times New Roman"/>
          <w:sz w:val="24"/>
          <w:szCs w:val="24"/>
        </w:rPr>
        <w:t xml:space="preserve"> programme administrative costs</w:t>
      </w:r>
      <w:r w:rsidR="003224D9">
        <w:rPr>
          <w:rFonts w:ascii="Times New Roman" w:hAnsi="Times New Roman" w:cs="Times New Roman"/>
          <w:sz w:val="24"/>
          <w:szCs w:val="24"/>
        </w:rPr>
        <w:t>,</w:t>
      </w:r>
      <w:r w:rsidR="00282801">
        <w:rPr>
          <w:rFonts w:ascii="Times New Roman" w:hAnsi="Times New Roman" w:cs="Times New Roman"/>
          <w:sz w:val="24"/>
          <w:szCs w:val="24"/>
        </w:rPr>
        <w:t xml:space="preserve"> suggesting the focus</w:t>
      </w:r>
      <w:r w:rsidR="003224D9">
        <w:rPr>
          <w:rFonts w:ascii="Times New Roman" w:hAnsi="Times New Roman" w:cs="Times New Roman"/>
          <w:sz w:val="24"/>
          <w:szCs w:val="24"/>
        </w:rPr>
        <w:t xml:space="preserve"> of effective scheme design</w:t>
      </w:r>
      <w:r w:rsidR="00282801">
        <w:rPr>
          <w:rFonts w:ascii="Times New Roman" w:hAnsi="Times New Roman" w:cs="Times New Roman"/>
          <w:sz w:val="24"/>
          <w:szCs w:val="24"/>
        </w:rPr>
        <w:t xml:space="preserve"> should be ‘to maximise conservation outputs per unit of expenditure’ rather than </w:t>
      </w:r>
      <w:r>
        <w:rPr>
          <w:rFonts w:ascii="Times New Roman" w:hAnsi="Times New Roman" w:cs="Times New Roman"/>
          <w:sz w:val="24"/>
          <w:szCs w:val="24"/>
        </w:rPr>
        <w:t>to</w:t>
      </w:r>
      <w:r w:rsidR="00282801">
        <w:rPr>
          <w:rFonts w:ascii="Times New Roman" w:hAnsi="Times New Roman" w:cs="Times New Roman"/>
          <w:sz w:val="24"/>
          <w:szCs w:val="24"/>
        </w:rPr>
        <w:t xml:space="preserve"> reduc</w:t>
      </w:r>
      <w:r>
        <w:rPr>
          <w:rFonts w:ascii="Times New Roman" w:hAnsi="Times New Roman" w:cs="Times New Roman"/>
          <w:sz w:val="24"/>
          <w:szCs w:val="24"/>
        </w:rPr>
        <w:t>e</w:t>
      </w:r>
      <w:r w:rsidR="00282801">
        <w:rPr>
          <w:rFonts w:ascii="Times New Roman" w:hAnsi="Times New Roman" w:cs="Times New Roman"/>
          <w:sz w:val="24"/>
          <w:szCs w:val="24"/>
        </w:rPr>
        <w:t xml:space="preserve"> </w:t>
      </w:r>
      <w:r w:rsidR="00284E45">
        <w:rPr>
          <w:rFonts w:ascii="Times New Roman" w:hAnsi="Times New Roman" w:cs="Times New Roman"/>
          <w:sz w:val="24"/>
          <w:szCs w:val="24"/>
        </w:rPr>
        <w:t xml:space="preserve">immediate </w:t>
      </w:r>
      <w:r w:rsidR="00282801">
        <w:rPr>
          <w:rFonts w:ascii="Times New Roman" w:hAnsi="Times New Roman" w:cs="Times New Roman"/>
          <w:sz w:val="24"/>
          <w:szCs w:val="24"/>
        </w:rPr>
        <w:t xml:space="preserve">transaction costs. </w:t>
      </w:r>
      <w:r w:rsidR="003224D9">
        <w:rPr>
          <w:rFonts w:ascii="Times New Roman" w:hAnsi="Times New Roman" w:cs="Times New Roman"/>
          <w:sz w:val="24"/>
          <w:szCs w:val="24"/>
        </w:rPr>
        <w:t>In this context,</w:t>
      </w:r>
      <w:r w:rsidR="00282801">
        <w:rPr>
          <w:rFonts w:ascii="Times New Roman" w:hAnsi="Times New Roman" w:cs="Times New Roman"/>
          <w:sz w:val="24"/>
          <w:szCs w:val="24"/>
        </w:rPr>
        <w:t xml:space="preserve"> ‘transaction benefits’ w</w:t>
      </w:r>
      <w:r w:rsidR="003224D9">
        <w:rPr>
          <w:rFonts w:ascii="Times New Roman" w:hAnsi="Times New Roman" w:cs="Times New Roman"/>
          <w:sz w:val="24"/>
          <w:szCs w:val="24"/>
        </w:rPr>
        <w:t>ere</w:t>
      </w:r>
      <w:r w:rsidR="00282801">
        <w:rPr>
          <w:rFonts w:ascii="Times New Roman" w:hAnsi="Times New Roman" w:cs="Times New Roman"/>
          <w:sz w:val="24"/>
          <w:szCs w:val="24"/>
        </w:rPr>
        <w:t xml:space="preserve"> </w:t>
      </w:r>
      <w:r w:rsidR="003224D9">
        <w:rPr>
          <w:rFonts w:ascii="Times New Roman" w:hAnsi="Times New Roman" w:cs="Times New Roman"/>
          <w:sz w:val="24"/>
          <w:szCs w:val="24"/>
        </w:rPr>
        <w:t>cit</w:t>
      </w:r>
      <w:r w:rsidR="00282801">
        <w:rPr>
          <w:rFonts w:ascii="Times New Roman" w:hAnsi="Times New Roman" w:cs="Times New Roman"/>
          <w:sz w:val="24"/>
          <w:szCs w:val="24"/>
        </w:rPr>
        <w:t xml:space="preserve">ed, incorporating </w:t>
      </w:r>
      <w:r w:rsidR="00671972">
        <w:rPr>
          <w:rFonts w:ascii="Times New Roman" w:hAnsi="Times New Roman" w:cs="Times New Roman"/>
          <w:sz w:val="24"/>
          <w:szCs w:val="24"/>
        </w:rPr>
        <w:t>p</w:t>
      </w:r>
      <w:r w:rsidR="00282801">
        <w:rPr>
          <w:rFonts w:ascii="Times New Roman" w:hAnsi="Times New Roman" w:cs="Times New Roman"/>
          <w:sz w:val="24"/>
          <w:szCs w:val="24"/>
        </w:rPr>
        <w:t xml:space="preserve">ositive aspects arising from </w:t>
      </w:r>
      <w:r w:rsidR="00013B35">
        <w:rPr>
          <w:rFonts w:ascii="Times New Roman" w:hAnsi="Times New Roman" w:cs="Times New Roman"/>
          <w:sz w:val="24"/>
          <w:szCs w:val="24"/>
        </w:rPr>
        <w:t>implementation</w:t>
      </w:r>
      <w:r w:rsidR="001F55A8">
        <w:rPr>
          <w:rFonts w:ascii="Times New Roman" w:hAnsi="Times New Roman" w:cs="Times New Roman"/>
          <w:sz w:val="24"/>
          <w:szCs w:val="24"/>
        </w:rPr>
        <w:t xml:space="preserve"> </w:t>
      </w:r>
      <w:r w:rsidR="00013B35">
        <w:rPr>
          <w:rFonts w:ascii="Times New Roman" w:hAnsi="Times New Roman" w:cs="Times New Roman"/>
          <w:sz w:val="24"/>
          <w:szCs w:val="24"/>
        </w:rPr>
        <w:t>such as the</w:t>
      </w:r>
      <w:r w:rsidR="00282801">
        <w:rPr>
          <w:rFonts w:ascii="Times New Roman" w:hAnsi="Times New Roman" w:cs="Times New Roman"/>
          <w:sz w:val="24"/>
          <w:szCs w:val="24"/>
        </w:rPr>
        <w:t xml:space="preserve"> provision of conflict resolution mechanisms where markets have not been efficient</w:t>
      </w:r>
      <w:r w:rsidR="001F55A8">
        <w:rPr>
          <w:rFonts w:ascii="Times New Roman" w:hAnsi="Times New Roman" w:cs="Times New Roman"/>
          <w:sz w:val="24"/>
          <w:szCs w:val="24"/>
        </w:rPr>
        <w:t>.  The</w:t>
      </w:r>
      <w:r w:rsidR="00723C83">
        <w:rPr>
          <w:rFonts w:ascii="Times New Roman" w:hAnsi="Times New Roman" w:cs="Times New Roman"/>
          <w:sz w:val="24"/>
          <w:szCs w:val="24"/>
        </w:rPr>
        <w:t>y</w:t>
      </w:r>
      <w:r w:rsidR="001F55A8">
        <w:rPr>
          <w:rFonts w:ascii="Times New Roman" w:hAnsi="Times New Roman" w:cs="Times New Roman"/>
          <w:sz w:val="24"/>
          <w:szCs w:val="24"/>
        </w:rPr>
        <w:t xml:space="preserve"> </w:t>
      </w:r>
      <w:r w:rsidR="00F82625">
        <w:rPr>
          <w:rFonts w:ascii="Times New Roman" w:hAnsi="Times New Roman" w:cs="Times New Roman"/>
          <w:sz w:val="24"/>
          <w:szCs w:val="24"/>
        </w:rPr>
        <w:t>conclud</w:t>
      </w:r>
      <w:r w:rsidR="001F55A8">
        <w:rPr>
          <w:rFonts w:ascii="Times New Roman" w:hAnsi="Times New Roman" w:cs="Times New Roman"/>
          <w:sz w:val="24"/>
          <w:szCs w:val="24"/>
        </w:rPr>
        <w:t>ed</w:t>
      </w:r>
      <w:r w:rsidR="003224D9">
        <w:rPr>
          <w:rFonts w:ascii="Times New Roman" w:hAnsi="Times New Roman" w:cs="Times New Roman"/>
          <w:sz w:val="24"/>
          <w:szCs w:val="24"/>
        </w:rPr>
        <w:t xml:space="preserve"> that more</w:t>
      </w:r>
      <w:r w:rsidR="00282801">
        <w:rPr>
          <w:rFonts w:ascii="Times New Roman" w:hAnsi="Times New Roman" w:cs="Times New Roman"/>
          <w:sz w:val="24"/>
          <w:szCs w:val="24"/>
        </w:rPr>
        <w:t xml:space="preserve"> complex administration </w:t>
      </w:r>
      <w:r w:rsidR="003224D9">
        <w:rPr>
          <w:rFonts w:ascii="Times New Roman" w:hAnsi="Times New Roman" w:cs="Times New Roman"/>
          <w:sz w:val="24"/>
          <w:szCs w:val="24"/>
        </w:rPr>
        <w:t xml:space="preserve">may be needed </w:t>
      </w:r>
      <w:r w:rsidR="00282801">
        <w:rPr>
          <w:rFonts w:ascii="Times New Roman" w:hAnsi="Times New Roman" w:cs="Times New Roman"/>
          <w:sz w:val="24"/>
          <w:szCs w:val="24"/>
        </w:rPr>
        <w:t xml:space="preserve">in order to ensure value for money in </w:t>
      </w:r>
      <w:r w:rsidR="00723C83">
        <w:rPr>
          <w:rFonts w:ascii="Times New Roman" w:hAnsi="Times New Roman" w:cs="Times New Roman"/>
          <w:sz w:val="24"/>
          <w:szCs w:val="24"/>
        </w:rPr>
        <w:t xml:space="preserve">the </w:t>
      </w:r>
      <w:r w:rsidR="00282801">
        <w:rPr>
          <w:rFonts w:ascii="Times New Roman" w:hAnsi="Times New Roman" w:cs="Times New Roman"/>
          <w:sz w:val="24"/>
          <w:szCs w:val="24"/>
        </w:rPr>
        <w:t>delivery</w:t>
      </w:r>
      <w:r w:rsidR="003224D9">
        <w:rPr>
          <w:rFonts w:ascii="Times New Roman" w:hAnsi="Times New Roman" w:cs="Times New Roman"/>
          <w:sz w:val="24"/>
          <w:szCs w:val="24"/>
        </w:rPr>
        <w:t xml:space="preserve"> of longer-term environmental benefits</w:t>
      </w:r>
      <w:r w:rsidR="00DA642A">
        <w:rPr>
          <w:rFonts w:ascii="Times New Roman" w:hAnsi="Times New Roman" w:cs="Times New Roman"/>
          <w:sz w:val="24"/>
          <w:szCs w:val="24"/>
        </w:rPr>
        <w:t>.</w:t>
      </w:r>
      <w:r w:rsidR="008F3894">
        <w:rPr>
          <w:rFonts w:ascii="Times New Roman" w:hAnsi="Times New Roman" w:cs="Times New Roman"/>
          <w:sz w:val="24"/>
          <w:szCs w:val="24"/>
        </w:rPr>
        <w:t xml:space="preserve"> </w:t>
      </w:r>
    </w:p>
    <w:p w:rsidR="00606501" w:rsidRPr="00606501" w:rsidRDefault="00606501" w:rsidP="00B6740A">
      <w:pPr>
        <w:autoSpaceDE w:val="0"/>
        <w:autoSpaceDN w:val="0"/>
        <w:adjustRightInd w:val="0"/>
        <w:spacing w:after="0" w:line="360" w:lineRule="auto"/>
        <w:jc w:val="both"/>
        <w:rPr>
          <w:rFonts w:ascii="Times New Roman" w:hAnsi="Times New Roman" w:cs="Times New Roman"/>
          <w:sz w:val="24"/>
          <w:szCs w:val="24"/>
        </w:rPr>
        <w:sectPr w:rsidR="00606501" w:rsidRPr="00606501" w:rsidSect="004B5531">
          <w:footerReference w:type="default" r:id="rId9"/>
          <w:pgSz w:w="12240" w:h="15840"/>
          <w:pgMar w:top="1440" w:right="1440" w:bottom="1440" w:left="1440" w:header="708" w:footer="708" w:gutter="0"/>
          <w:cols w:space="708"/>
          <w:docGrid w:linePitch="360"/>
        </w:sectPr>
      </w:pPr>
    </w:p>
    <w:p w:rsidR="0003194C" w:rsidRPr="00F14D77" w:rsidRDefault="00CB2BF5" w:rsidP="00F14D77">
      <w:pPr>
        <w:spacing w:after="0" w:line="360" w:lineRule="auto"/>
        <w:jc w:val="both"/>
        <w:rPr>
          <w:rFonts w:ascii="Times New Roman" w:hAnsi="Times New Roman" w:cs="Times New Roman"/>
          <w:b/>
        </w:rPr>
      </w:pPr>
      <w:r w:rsidRPr="00F14D77">
        <w:rPr>
          <w:rFonts w:ascii="Times New Roman" w:hAnsi="Times New Roman" w:cs="Times New Roman"/>
          <w:b/>
        </w:rPr>
        <w:lastRenderedPageBreak/>
        <w:t xml:space="preserve">Table </w:t>
      </w:r>
      <w:r w:rsidR="001D6483" w:rsidRPr="00F14D77">
        <w:rPr>
          <w:rFonts w:ascii="Times New Roman" w:hAnsi="Times New Roman" w:cs="Times New Roman"/>
          <w:b/>
        </w:rPr>
        <w:t>1</w:t>
      </w:r>
      <w:r w:rsidRPr="00F14D77">
        <w:rPr>
          <w:rFonts w:ascii="Times New Roman" w:hAnsi="Times New Roman" w:cs="Times New Roman"/>
          <w:b/>
        </w:rPr>
        <w:t xml:space="preserve">. </w:t>
      </w:r>
      <w:r w:rsidR="009A406D" w:rsidRPr="00F14D77">
        <w:rPr>
          <w:rFonts w:ascii="Times New Roman" w:hAnsi="Times New Roman" w:cs="Times New Roman"/>
          <w:b/>
        </w:rPr>
        <w:t>Transaction costs</w:t>
      </w:r>
      <w:r w:rsidR="00817457" w:rsidRPr="00F14D77">
        <w:rPr>
          <w:rFonts w:ascii="Times New Roman" w:hAnsi="Times New Roman" w:cs="Times New Roman"/>
          <w:b/>
        </w:rPr>
        <w:t xml:space="preserve"> </w:t>
      </w:r>
      <w:r w:rsidR="00B26D41" w:rsidRPr="00F14D77">
        <w:rPr>
          <w:rFonts w:ascii="Times New Roman" w:hAnsi="Times New Roman" w:cs="Times New Roman"/>
          <w:b/>
        </w:rPr>
        <w:t>(TC</w:t>
      </w:r>
      <w:r w:rsidR="00C1756D" w:rsidRPr="00F14D77">
        <w:rPr>
          <w:rFonts w:ascii="Times New Roman" w:hAnsi="Times New Roman" w:cs="Times New Roman"/>
          <w:b/>
        </w:rPr>
        <w:t>s</w:t>
      </w:r>
      <w:r w:rsidR="00B26D41" w:rsidRPr="00F14D77">
        <w:rPr>
          <w:rFonts w:ascii="Times New Roman" w:hAnsi="Times New Roman" w:cs="Times New Roman"/>
          <w:b/>
        </w:rPr>
        <w:t xml:space="preserve">) </w:t>
      </w:r>
      <w:r w:rsidR="00817457" w:rsidRPr="00F14D77">
        <w:rPr>
          <w:rFonts w:ascii="Times New Roman" w:hAnsi="Times New Roman" w:cs="Times New Roman"/>
          <w:b/>
        </w:rPr>
        <w:t xml:space="preserve">as covered in studies on rural development </w:t>
      </w:r>
      <w:r w:rsidR="00E90359" w:rsidRPr="00F14D77">
        <w:rPr>
          <w:rFonts w:ascii="Times New Roman" w:hAnsi="Times New Roman" w:cs="Times New Roman"/>
          <w:b/>
        </w:rPr>
        <w:t>policies</w:t>
      </w:r>
      <w:r w:rsidR="001D6483" w:rsidRPr="00F14D77">
        <w:rPr>
          <w:rFonts w:ascii="Times New Roman" w:hAnsi="Times New Roman" w:cs="Times New Roman"/>
          <w:b/>
        </w:rPr>
        <w:t xml:space="preserve"> (after Coggan et al, 2010)</w:t>
      </w:r>
    </w:p>
    <w:tbl>
      <w:tblPr>
        <w:tblStyle w:val="TableGrid"/>
        <w:tblW w:w="0" w:type="auto"/>
        <w:tblLook w:val="04A0" w:firstRow="1" w:lastRow="0" w:firstColumn="1" w:lastColumn="0" w:noHBand="0" w:noVBand="1"/>
      </w:tblPr>
      <w:tblGrid>
        <w:gridCol w:w="1733"/>
        <w:gridCol w:w="1328"/>
        <w:gridCol w:w="1534"/>
        <w:gridCol w:w="1255"/>
        <w:gridCol w:w="1286"/>
        <w:gridCol w:w="1409"/>
        <w:gridCol w:w="1269"/>
        <w:gridCol w:w="1280"/>
        <w:gridCol w:w="2082"/>
      </w:tblGrid>
      <w:tr w:rsidR="0026095F" w:rsidRPr="001D6483" w:rsidTr="00B6740A">
        <w:trPr>
          <w:trHeight w:val="941"/>
        </w:trPr>
        <w:tc>
          <w:tcPr>
            <w:tcW w:w="0" w:type="auto"/>
            <w:vAlign w:val="center"/>
          </w:tcPr>
          <w:p w:rsidR="00095788" w:rsidRPr="001D6483" w:rsidRDefault="0026095F" w:rsidP="0026095F">
            <w:pPr>
              <w:rPr>
                <w:rFonts w:ascii="Times New Roman" w:hAnsi="Times New Roman" w:cs="Times New Roman"/>
              </w:rPr>
            </w:pPr>
            <w:r>
              <w:rPr>
                <w:rFonts w:ascii="Times New Roman" w:hAnsi="Times New Roman" w:cs="Times New Roman"/>
              </w:rPr>
              <w:t>Study</w:t>
            </w:r>
          </w:p>
        </w:tc>
        <w:tc>
          <w:tcPr>
            <w:tcW w:w="0" w:type="auto"/>
            <w:gridSpan w:val="2"/>
            <w:vAlign w:val="center"/>
          </w:tcPr>
          <w:p w:rsidR="00095788" w:rsidRPr="001D6483" w:rsidRDefault="00095788" w:rsidP="0026095F">
            <w:pPr>
              <w:rPr>
                <w:rFonts w:ascii="Times New Roman" w:hAnsi="Times New Roman" w:cs="Times New Roman"/>
              </w:rPr>
            </w:pPr>
            <w:r>
              <w:rPr>
                <w:rFonts w:ascii="Times New Roman" w:hAnsi="Times New Roman" w:cs="Times New Roman"/>
              </w:rPr>
              <w:t>T</w:t>
            </w:r>
            <w:r w:rsidR="00C1756D">
              <w:rPr>
                <w:rFonts w:ascii="Times New Roman" w:hAnsi="Times New Roman" w:cs="Times New Roman"/>
              </w:rPr>
              <w:t>C</w:t>
            </w:r>
            <w:r w:rsidR="0026095F">
              <w:rPr>
                <w:rFonts w:ascii="Times New Roman" w:hAnsi="Times New Roman" w:cs="Times New Roman"/>
              </w:rPr>
              <w:t>s arising from asymmetric</w:t>
            </w:r>
            <w:r>
              <w:rPr>
                <w:rFonts w:ascii="Times New Roman" w:hAnsi="Times New Roman" w:cs="Times New Roman"/>
              </w:rPr>
              <w:t xml:space="preserve"> </w:t>
            </w:r>
            <w:r w:rsidR="00AA4B9B">
              <w:rPr>
                <w:rFonts w:ascii="Times New Roman" w:hAnsi="Times New Roman" w:cs="Times New Roman"/>
              </w:rPr>
              <w:t xml:space="preserve">prior </w:t>
            </w:r>
            <w:r>
              <w:rPr>
                <w:rFonts w:ascii="Times New Roman" w:hAnsi="Times New Roman" w:cs="Times New Roman"/>
              </w:rPr>
              <w:t>knowledge</w:t>
            </w:r>
            <w:r w:rsidR="00A66B1F">
              <w:rPr>
                <w:rFonts w:ascii="Times New Roman" w:hAnsi="Times New Roman" w:cs="Times New Roman"/>
              </w:rPr>
              <w:t>, conflict,</w:t>
            </w:r>
            <w:r>
              <w:rPr>
                <w:rFonts w:ascii="Times New Roman" w:hAnsi="Times New Roman" w:cs="Times New Roman"/>
              </w:rPr>
              <w:t xml:space="preserve"> and information</w:t>
            </w:r>
          </w:p>
        </w:tc>
        <w:tc>
          <w:tcPr>
            <w:tcW w:w="0" w:type="auto"/>
            <w:gridSpan w:val="5"/>
            <w:vAlign w:val="center"/>
          </w:tcPr>
          <w:p w:rsidR="00095788" w:rsidRPr="001D6483" w:rsidRDefault="00095788" w:rsidP="0026095F">
            <w:pPr>
              <w:rPr>
                <w:rFonts w:ascii="Times New Roman" w:hAnsi="Times New Roman" w:cs="Times New Roman"/>
              </w:rPr>
            </w:pPr>
            <w:r>
              <w:rPr>
                <w:rFonts w:ascii="Times New Roman" w:hAnsi="Times New Roman" w:cs="Times New Roman"/>
              </w:rPr>
              <w:t>T</w:t>
            </w:r>
            <w:r w:rsidR="00C1756D">
              <w:rPr>
                <w:rFonts w:ascii="Times New Roman" w:hAnsi="Times New Roman" w:cs="Times New Roman"/>
              </w:rPr>
              <w:t>C</w:t>
            </w:r>
            <w:r>
              <w:rPr>
                <w:rFonts w:ascii="Times New Roman" w:hAnsi="Times New Roman" w:cs="Times New Roman"/>
              </w:rPr>
              <w:t xml:space="preserve">s arising from </w:t>
            </w:r>
            <w:r w:rsidR="00AA4B9B">
              <w:rPr>
                <w:rFonts w:ascii="Times New Roman" w:hAnsi="Times New Roman" w:cs="Times New Roman"/>
              </w:rPr>
              <w:t xml:space="preserve">contractual </w:t>
            </w:r>
            <w:r>
              <w:rPr>
                <w:rFonts w:ascii="Times New Roman" w:hAnsi="Times New Roman" w:cs="Times New Roman"/>
              </w:rPr>
              <w:t>processes</w:t>
            </w:r>
          </w:p>
        </w:tc>
        <w:tc>
          <w:tcPr>
            <w:tcW w:w="0" w:type="auto"/>
            <w:vAlign w:val="center"/>
          </w:tcPr>
          <w:p w:rsidR="00095788" w:rsidRPr="001D6483" w:rsidRDefault="00AA4B9B" w:rsidP="0026095F">
            <w:pPr>
              <w:rPr>
                <w:rFonts w:ascii="Times New Roman" w:hAnsi="Times New Roman" w:cs="Times New Roman"/>
              </w:rPr>
            </w:pPr>
            <w:r>
              <w:rPr>
                <w:rFonts w:ascii="Times New Roman" w:hAnsi="Times New Roman" w:cs="Times New Roman"/>
              </w:rPr>
              <w:t>F</w:t>
            </w:r>
            <w:r w:rsidR="00095788">
              <w:rPr>
                <w:rFonts w:ascii="Times New Roman" w:hAnsi="Times New Roman" w:cs="Times New Roman"/>
              </w:rPr>
              <w:t xml:space="preserve">actors </w:t>
            </w:r>
            <w:r>
              <w:rPr>
                <w:rFonts w:ascii="Times New Roman" w:hAnsi="Times New Roman" w:cs="Times New Roman"/>
              </w:rPr>
              <w:t>affecting</w:t>
            </w:r>
            <w:r w:rsidR="00095788">
              <w:rPr>
                <w:rFonts w:ascii="Times New Roman" w:hAnsi="Times New Roman" w:cs="Times New Roman"/>
              </w:rPr>
              <w:t xml:space="preserve"> </w:t>
            </w:r>
            <w:r w:rsidR="00E90359">
              <w:rPr>
                <w:rFonts w:ascii="Times New Roman" w:hAnsi="Times New Roman" w:cs="Times New Roman"/>
              </w:rPr>
              <w:t>TC</w:t>
            </w:r>
            <w:r w:rsidR="009A406D">
              <w:rPr>
                <w:rFonts w:ascii="Times New Roman" w:hAnsi="Times New Roman" w:cs="Times New Roman"/>
              </w:rPr>
              <w:t>s</w:t>
            </w:r>
          </w:p>
        </w:tc>
      </w:tr>
      <w:tr w:rsidR="001149A8" w:rsidRPr="001D6483" w:rsidTr="00B6740A">
        <w:trPr>
          <w:trHeight w:val="941"/>
        </w:trPr>
        <w:tc>
          <w:tcPr>
            <w:tcW w:w="0" w:type="auto"/>
            <w:vAlign w:val="center"/>
          </w:tcPr>
          <w:p w:rsidR="001D6483" w:rsidRPr="001D6483" w:rsidRDefault="001D6483" w:rsidP="0026095F">
            <w:pPr>
              <w:rPr>
                <w:rFonts w:ascii="Times New Roman" w:hAnsi="Times New Roman" w:cs="Times New Roman"/>
              </w:rPr>
            </w:pPr>
          </w:p>
        </w:tc>
        <w:tc>
          <w:tcPr>
            <w:tcW w:w="0" w:type="auto"/>
            <w:vAlign w:val="center"/>
          </w:tcPr>
          <w:p w:rsidR="001D6483" w:rsidRPr="001D6483" w:rsidRDefault="0026095F" w:rsidP="0026095F">
            <w:pPr>
              <w:rPr>
                <w:rFonts w:ascii="Times New Roman" w:hAnsi="Times New Roman" w:cs="Times New Roman"/>
              </w:rPr>
            </w:pPr>
            <w:r>
              <w:rPr>
                <w:rFonts w:ascii="Times New Roman" w:hAnsi="Times New Roman" w:cs="Times New Roman"/>
              </w:rPr>
              <w:t xml:space="preserve">Knowledge and </w:t>
            </w:r>
            <w:r w:rsidR="001D6483" w:rsidRPr="001D6483">
              <w:rPr>
                <w:rFonts w:ascii="Times New Roman" w:hAnsi="Times New Roman" w:cs="Times New Roman"/>
              </w:rPr>
              <w:t>information</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 xml:space="preserve">Perception </w:t>
            </w:r>
            <w:r w:rsidR="0026095F">
              <w:rPr>
                <w:rFonts w:ascii="Times New Roman" w:hAnsi="Times New Roman" w:cs="Times New Roman"/>
              </w:rPr>
              <w:t>and</w:t>
            </w:r>
            <w:r w:rsidRPr="001D6483">
              <w:rPr>
                <w:rFonts w:ascii="Times New Roman" w:hAnsi="Times New Roman" w:cs="Times New Roman"/>
              </w:rPr>
              <w:t xml:space="preserve"> understanding</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Application</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Negotiating contracts</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Management requirements</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M</w:t>
            </w:r>
            <w:r w:rsidR="0026095F">
              <w:rPr>
                <w:rFonts w:ascii="Times New Roman" w:hAnsi="Times New Roman" w:cs="Times New Roman"/>
              </w:rPr>
              <w:t xml:space="preserve">onitoring and </w:t>
            </w:r>
            <w:r w:rsidRPr="001D6483">
              <w:rPr>
                <w:rFonts w:ascii="Times New Roman" w:hAnsi="Times New Roman" w:cs="Times New Roman"/>
              </w:rPr>
              <w:t>evaluation</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Compliance</w:t>
            </w:r>
          </w:p>
        </w:tc>
        <w:tc>
          <w:tcPr>
            <w:tcW w:w="0" w:type="auto"/>
            <w:vAlign w:val="center"/>
          </w:tcPr>
          <w:p w:rsidR="001D6483" w:rsidRPr="001D6483" w:rsidRDefault="001D6483" w:rsidP="0026095F">
            <w:pPr>
              <w:rPr>
                <w:rFonts w:ascii="Times New Roman" w:hAnsi="Times New Roman" w:cs="Times New Roman"/>
              </w:rPr>
            </w:pPr>
          </w:p>
        </w:tc>
      </w:tr>
      <w:tr w:rsidR="001149A8" w:rsidRPr="001D6483" w:rsidTr="00B26D41">
        <w:tc>
          <w:tcPr>
            <w:tcW w:w="0" w:type="auto"/>
            <w:vAlign w:val="center"/>
          </w:tcPr>
          <w:p w:rsidR="001D6483" w:rsidRPr="00B6740A" w:rsidRDefault="001D6483" w:rsidP="0026095F">
            <w:pPr>
              <w:rPr>
                <w:rFonts w:ascii="Times New Roman" w:hAnsi="Times New Roman"/>
                <w:lang w:val="fr-FR"/>
              </w:rPr>
            </w:pPr>
            <w:r w:rsidRPr="00B6740A">
              <w:rPr>
                <w:rFonts w:ascii="Times New Roman" w:hAnsi="Times New Roman"/>
                <w:lang w:val="fr-FR"/>
              </w:rPr>
              <w:t>Agri-environment schemes</w:t>
            </w:r>
            <w:r w:rsidR="00777AC0" w:rsidRPr="00676BC0">
              <w:rPr>
                <w:rFonts w:ascii="Times New Roman" w:hAnsi="Times New Roman" w:cs="Times New Roman"/>
                <w:lang w:val="fr-FR"/>
              </w:rPr>
              <w:t xml:space="preserve"> (AES)</w:t>
            </w:r>
          </w:p>
          <w:p w:rsidR="001D6483" w:rsidRPr="00B6740A" w:rsidRDefault="001D6483" w:rsidP="0026095F">
            <w:pPr>
              <w:rPr>
                <w:rFonts w:ascii="Times New Roman" w:hAnsi="Times New Roman"/>
                <w:lang w:val="fr-FR"/>
              </w:rPr>
            </w:pPr>
            <w:r w:rsidRPr="00B6740A">
              <w:rPr>
                <w:rFonts w:ascii="Times New Roman" w:hAnsi="Times New Roman"/>
                <w:lang w:val="fr-FR"/>
              </w:rPr>
              <w:t>Falconer (2000)</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p>
        </w:tc>
        <w:tc>
          <w:tcPr>
            <w:tcW w:w="0" w:type="auto"/>
            <w:vAlign w:val="center"/>
          </w:tcPr>
          <w:p w:rsidR="001D6483" w:rsidRPr="001D6483" w:rsidRDefault="00AA4B9B" w:rsidP="0026095F">
            <w:pPr>
              <w:rPr>
                <w:rFonts w:ascii="Times New Roman" w:hAnsi="Times New Roman" w:cs="Times New Roman"/>
              </w:rPr>
            </w:pPr>
            <w:r>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777AC0" w:rsidP="0026095F">
            <w:pPr>
              <w:rPr>
                <w:rFonts w:ascii="Times New Roman" w:hAnsi="Times New Roman" w:cs="Times New Roman"/>
              </w:rPr>
            </w:pPr>
            <w:r>
              <w:rPr>
                <w:rFonts w:ascii="Times New Roman" w:hAnsi="Times New Roman" w:cs="Times New Roman"/>
              </w:rPr>
              <w:t>Policy learning, information</w:t>
            </w:r>
            <w:r w:rsidR="00326FDD" w:rsidRPr="001D6483">
              <w:rPr>
                <w:rFonts w:ascii="Times New Roman" w:hAnsi="Times New Roman" w:cs="Times New Roman"/>
              </w:rPr>
              <w:t xml:space="preserve"> </w:t>
            </w:r>
          </w:p>
        </w:tc>
      </w:tr>
      <w:tr w:rsidR="001149A8" w:rsidRPr="001D6483" w:rsidTr="00B26D41">
        <w:tc>
          <w:tcPr>
            <w:tcW w:w="0" w:type="auto"/>
            <w:vAlign w:val="center"/>
          </w:tcPr>
          <w:p w:rsidR="001D6483" w:rsidRPr="009D4614" w:rsidRDefault="00777AC0" w:rsidP="0026095F">
            <w:pPr>
              <w:rPr>
                <w:rFonts w:ascii="Times New Roman" w:hAnsi="Times New Roman" w:cs="Times New Roman"/>
                <w:lang w:val="fr-FR"/>
              </w:rPr>
            </w:pPr>
            <w:r>
              <w:rPr>
                <w:rFonts w:ascii="Times New Roman" w:hAnsi="Times New Roman" w:cs="Times New Roman"/>
                <w:lang w:val="fr-FR"/>
              </w:rPr>
              <w:t>AES</w:t>
            </w:r>
          </w:p>
          <w:p w:rsidR="001D6483" w:rsidRPr="001D6483" w:rsidRDefault="001D6483" w:rsidP="0026095F">
            <w:pPr>
              <w:rPr>
                <w:rFonts w:ascii="Times New Roman" w:hAnsi="Times New Roman" w:cs="Times New Roman"/>
              </w:rPr>
            </w:pPr>
            <w:r w:rsidRPr="009D4614">
              <w:rPr>
                <w:rFonts w:ascii="Times New Roman" w:hAnsi="Times New Roman" w:cs="Times New Roman"/>
                <w:lang w:val="fr-FR"/>
              </w:rPr>
              <w:t xml:space="preserve">Mettepenningen </w:t>
            </w:r>
            <w:r w:rsidR="00171FE3" w:rsidRPr="00171FE3">
              <w:rPr>
                <w:rFonts w:ascii="Times New Roman" w:hAnsi="Times New Roman" w:cs="Times New Roman"/>
                <w:i/>
                <w:lang w:val="fr-FR"/>
              </w:rPr>
              <w:t>et al</w:t>
            </w:r>
            <w:r w:rsidRPr="009D4614">
              <w:rPr>
                <w:rFonts w:ascii="Times New Roman" w:hAnsi="Times New Roman" w:cs="Times New Roman"/>
                <w:lang w:val="fr-FR"/>
              </w:rPr>
              <w:t xml:space="preserve">. </w:t>
            </w:r>
            <w:r w:rsidRPr="001D6483">
              <w:rPr>
                <w:rFonts w:ascii="Times New Roman" w:hAnsi="Times New Roman" w:cs="Times New Roman"/>
              </w:rPr>
              <w:t>(2011)</w:t>
            </w:r>
          </w:p>
        </w:tc>
        <w:tc>
          <w:tcPr>
            <w:tcW w:w="0" w:type="auto"/>
            <w:vAlign w:val="center"/>
          </w:tcPr>
          <w:p w:rsidR="001D6483" w:rsidRPr="00AA4B9B" w:rsidRDefault="00AA4B9B" w:rsidP="0026095F">
            <w:pPr>
              <w:rPr>
                <w:rFonts w:ascii="Times New Roman" w:hAnsi="Times New Roman" w:cs="Times New Roman"/>
              </w:rPr>
            </w:pPr>
            <w:r>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AA4B9B" w:rsidP="0026095F">
            <w:pPr>
              <w:rPr>
                <w:rFonts w:ascii="Times New Roman" w:hAnsi="Times New Roman" w:cs="Times New Roman"/>
              </w:rPr>
            </w:pPr>
            <w:r>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AA4B9B" w:rsidP="0026095F">
            <w:pPr>
              <w:rPr>
                <w:rFonts w:ascii="Times New Roman" w:hAnsi="Times New Roman" w:cs="Times New Roman"/>
              </w:rPr>
            </w:pPr>
            <w:r w:rsidRPr="001D6483">
              <w:rPr>
                <w:rFonts w:ascii="Times New Roman" w:hAnsi="Times New Roman" w:cs="Times New Roman"/>
              </w:rPr>
              <w:t>D</w:t>
            </w:r>
            <w:r w:rsidR="001D6483" w:rsidRPr="001D6483">
              <w:rPr>
                <w:rFonts w:ascii="Times New Roman" w:hAnsi="Times New Roman" w:cs="Times New Roman"/>
              </w:rPr>
              <w:t>ecentralization</w:t>
            </w:r>
            <w:r>
              <w:rPr>
                <w:rFonts w:ascii="Times New Roman" w:hAnsi="Times New Roman" w:cs="Times New Roman"/>
              </w:rPr>
              <w:t xml:space="preserve"> (increased </w:t>
            </w:r>
            <w:r w:rsidR="00B26D41">
              <w:rPr>
                <w:rFonts w:ascii="Times New Roman" w:hAnsi="Times New Roman" w:cs="Times New Roman"/>
              </w:rPr>
              <w:t>TC</w:t>
            </w:r>
            <w:r w:rsidR="00C1756D">
              <w:rPr>
                <w:rFonts w:ascii="Times New Roman" w:hAnsi="Times New Roman" w:cs="Times New Roman"/>
              </w:rPr>
              <w:t>s</w:t>
            </w:r>
            <w:r>
              <w:rPr>
                <w:rFonts w:ascii="Times New Roman" w:hAnsi="Times New Roman" w:cs="Times New Roman"/>
              </w:rPr>
              <w:t>)</w:t>
            </w:r>
            <w:r w:rsidR="001D6483" w:rsidRPr="001D6483">
              <w:rPr>
                <w:rFonts w:ascii="Times New Roman" w:hAnsi="Times New Roman" w:cs="Times New Roman"/>
              </w:rPr>
              <w:t>;  co</w:t>
            </w:r>
            <w:r>
              <w:rPr>
                <w:rFonts w:ascii="Times New Roman" w:hAnsi="Times New Roman" w:cs="Times New Roman"/>
              </w:rPr>
              <w:t>-</w:t>
            </w:r>
            <w:r w:rsidR="001D6483" w:rsidRPr="001D6483">
              <w:rPr>
                <w:rFonts w:ascii="Times New Roman" w:hAnsi="Times New Roman" w:cs="Times New Roman"/>
              </w:rPr>
              <w:t>operation</w:t>
            </w:r>
            <w:r>
              <w:rPr>
                <w:rFonts w:ascii="Times New Roman" w:hAnsi="Times New Roman" w:cs="Times New Roman"/>
              </w:rPr>
              <w:t xml:space="preserve"> (reduced </w:t>
            </w:r>
            <w:r w:rsidR="00B26D41">
              <w:rPr>
                <w:rFonts w:ascii="Times New Roman" w:hAnsi="Times New Roman" w:cs="Times New Roman"/>
              </w:rPr>
              <w:t>TC</w:t>
            </w:r>
            <w:r w:rsidR="00C1756D">
              <w:rPr>
                <w:rFonts w:ascii="Times New Roman" w:hAnsi="Times New Roman" w:cs="Times New Roman"/>
              </w:rPr>
              <w:t>s</w:t>
            </w:r>
            <w:r>
              <w:rPr>
                <w:rFonts w:ascii="Times New Roman" w:hAnsi="Times New Roman" w:cs="Times New Roman"/>
              </w:rPr>
              <w:t>)</w:t>
            </w:r>
            <w:r w:rsidR="001D6483" w:rsidRPr="001D6483">
              <w:rPr>
                <w:rFonts w:ascii="Times New Roman" w:hAnsi="Times New Roman" w:cs="Times New Roman"/>
              </w:rPr>
              <w:t xml:space="preserve"> </w:t>
            </w:r>
          </w:p>
        </w:tc>
      </w:tr>
      <w:tr w:rsidR="001149A8" w:rsidRPr="001D6483" w:rsidTr="00B26D41">
        <w:tc>
          <w:tcPr>
            <w:tcW w:w="0" w:type="auto"/>
            <w:vAlign w:val="center"/>
          </w:tcPr>
          <w:p w:rsidR="001D6483" w:rsidRPr="001D6483" w:rsidRDefault="00777AC0" w:rsidP="0026095F">
            <w:pPr>
              <w:rPr>
                <w:rFonts w:ascii="Times New Roman" w:hAnsi="Times New Roman" w:cs="Times New Roman"/>
              </w:rPr>
            </w:pPr>
            <w:r>
              <w:rPr>
                <w:rFonts w:ascii="Times New Roman" w:hAnsi="Times New Roman" w:cs="Times New Roman"/>
              </w:rPr>
              <w:t>AES</w:t>
            </w:r>
          </w:p>
          <w:p w:rsidR="001D6483" w:rsidRPr="001D6483" w:rsidRDefault="00334B0A" w:rsidP="0026095F">
            <w:pPr>
              <w:rPr>
                <w:rFonts w:ascii="Times New Roman" w:hAnsi="Times New Roman" w:cs="Times New Roman"/>
              </w:rPr>
            </w:pPr>
            <w:r>
              <w:rPr>
                <w:rFonts w:ascii="Times New Roman" w:hAnsi="Times New Roman" w:cs="Times New Roman"/>
              </w:rPr>
              <w:t>Franks (2011</w:t>
            </w:r>
            <w:r w:rsidR="001D6483" w:rsidRPr="001D6483">
              <w:rPr>
                <w:rFonts w:ascii="Times New Roman" w:hAnsi="Times New Roman" w:cs="Times New Roman"/>
              </w:rPr>
              <w:t>)</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p>
        </w:tc>
        <w:tc>
          <w:tcPr>
            <w:tcW w:w="0" w:type="auto"/>
            <w:vAlign w:val="center"/>
          </w:tcPr>
          <w:p w:rsidR="001D6483" w:rsidRPr="001D6483" w:rsidRDefault="001D6483" w:rsidP="0026095F">
            <w:pPr>
              <w:rPr>
                <w:rFonts w:ascii="Times New Roman" w:hAnsi="Times New Roman" w:cs="Times New Roman"/>
              </w:rPr>
            </w:pP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Collective action</w:t>
            </w:r>
            <w:r w:rsidR="00AA4B9B">
              <w:rPr>
                <w:rFonts w:ascii="Times New Roman" w:hAnsi="Times New Roman" w:cs="Times New Roman"/>
              </w:rPr>
              <w:t xml:space="preserve"> (reduced </w:t>
            </w:r>
            <w:r w:rsidR="009A406D">
              <w:rPr>
                <w:rFonts w:ascii="Times New Roman" w:hAnsi="Times New Roman" w:cs="Times New Roman"/>
              </w:rPr>
              <w:t>T</w:t>
            </w:r>
            <w:r w:rsidR="00B26D41">
              <w:rPr>
                <w:rFonts w:ascii="Times New Roman" w:hAnsi="Times New Roman" w:cs="Times New Roman"/>
              </w:rPr>
              <w:t>C</w:t>
            </w:r>
            <w:r w:rsidR="00C1756D">
              <w:rPr>
                <w:rFonts w:ascii="Times New Roman" w:hAnsi="Times New Roman" w:cs="Times New Roman"/>
              </w:rPr>
              <w:t>s</w:t>
            </w:r>
            <w:r w:rsidR="00AA4B9B">
              <w:rPr>
                <w:rFonts w:ascii="Times New Roman" w:hAnsi="Times New Roman" w:cs="Times New Roman"/>
              </w:rPr>
              <w:t>)</w:t>
            </w:r>
          </w:p>
        </w:tc>
      </w:tr>
      <w:tr w:rsidR="001149A8" w:rsidRPr="001D6483" w:rsidTr="00B26D41">
        <w:tc>
          <w:tcPr>
            <w:tcW w:w="0" w:type="auto"/>
            <w:vAlign w:val="center"/>
          </w:tcPr>
          <w:p w:rsidR="008020CD" w:rsidRPr="008020CD" w:rsidRDefault="00777AC0" w:rsidP="0026095F">
            <w:pPr>
              <w:rPr>
                <w:rFonts w:ascii="Times New Roman" w:hAnsi="Times New Roman" w:cs="Times New Roman"/>
                <w:lang w:val="fr-FR"/>
              </w:rPr>
            </w:pPr>
            <w:r>
              <w:rPr>
                <w:rFonts w:ascii="Times New Roman" w:hAnsi="Times New Roman" w:cs="Times New Roman"/>
                <w:lang w:val="fr-FR"/>
              </w:rPr>
              <w:t>AES</w:t>
            </w:r>
            <w:r w:rsidR="008020CD" w:rsidRPr="008020CD">
              <w:rPr>
                <w:rFonts w:ascii="Times New Roman" w:hAnsi="Times New Roman" w:cs="Times New Roman"/>
                <w:lang w:val="fr-FR"/>
              </w:rPr>
              <w:t xml:space="preserve"> </w:t>
            </w:r>
          </w:p>
          <w:p w:rsidR="008020CD" w:rsidRPr="008020CD" w:rsidRDefault="008020CD" w:rsidP="0026095F">
            <w:pPr>
              <w:rPr>
                <w:rFonts w:ascii="Times New Roman" w:hAnsi="Times New Roman" w:cs="Times New Roman"/>
                <w:lang w:val="fr-FR"/>
              </w:rPr>
            </w:pPr>
            <w:r w:rsidRPr="008020CD">
              <w:rPr>
                <w:rFonts w:ascii="Times New Roman" w:hAnsi="Times New Roman" w:cs="Times New Roman"/>
                <w:lang w:val="fr-FR"/>
              </w:rPr>
              <w:t xml:space="preserve">Beckmann, </w:t>
            </w:r>
            <w:r w:rsidRPr="008020CD">
              <w:rPr>
                <w:rFonts w:ascii="Times New Roman" w:hAnsi="Times New Roman" w:cs="Times New Roman"/>
                <w:i/>
                <w:lang w:val="fr-FR"/>
              </w:rPr>
              <w:t>et al</w:t>
            </w:r>
            <w:r w:rsidR="00EE7D97">
              <w:rPr>
                <w:rFonts w:ascii="Times New Roman" w:hAnsi="Times New Roman" w:cs="Times New Roman"/>
                <w:lang w:val="fr-FR"/>
              </w:rPr>
              <w:t>.</w:t>
            </w:r>
            <w:r w:rsidRPr="008020CD">
              <w:rPr>
                <w:rFonts w:ascii="Times New Roman" w:hAnsi="Times New Roman" w:cs="Times New Roman"/>
                <w:lang w:val="fr-FR"/>
              </w:rPr>
              <w:t xml:space="preserve"> </w:t>
            </w:r>
            <w:r w:rsidR="00EE7D97">
              <w:rPr>
                <w:rFonts w:ascii="Times New Roman" w:hAnsi="Times New Roman" w:cs="Times New Roman"/>
                <w:lang w:val="fr-FR"/>
              </w:rPr>
              <w:t>(</w:t>
            </w:r>
            <w:r w:rsidRPr="008020CD">
              <w:rPr>
                <w:rFonts w:ascii="Times New Roman" w:hAnsi="Times New Roman" w:cs="Times New Roman"/>
                <w:lang w:val="fr-FR"/>
              </w:rPr>
              <w:t>2009)</w:t>
            </w:r>
          </w:p>
        </w:tc>
        <w:tc>
          <w:tcPr>
            <w:tcW w:w="0" w:type="auto"/>
            <w:vAlign w:val="center"/>
          </w:tcPr>
          <w:p w:rsidR="008020CD" w:rsidRPr="001D6483" w:rsidRDefault="008020CD"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8020CD" w:rsidRPr="001D6483" w:rsidRDefault="008020CD" w:rsidP="0026095F">
            <w:pPr>
              <w:rPr>
                <w:rFonts w:ascii="Times New Roman" w:hAnsi="Times New Roman" w:cs="Times New Roman"/>
              </w:rPr>
            </w:pPr>
          </w:p>
        </w:tc>
        <w:tc>
          <w:tcPr>
            <w:tcW w:w="0" w:type="auto"/>
            <w:vAlign w:val="center"/>
          </w:tcPr>
          <w:p w:rsidR="008020CD" w:rsidRPr="001D6483" w:rsidRDefault="008020CD" w:rsidP="0026095F">
            <w:pPr>
              <w:rPr>
                <w:rFonts w:ascii="Times New Roman" w:hAnsi="Times New Roman" w:cs="Times New Roman"/>
              </w:rPr>
            </w:pPr>
          </w:p>
        </w:tc>
        <w:tc>
          <w:tcPr>
            <w:tcW w:w="0" w:type="auto"/>
            <w:vAlign w:val="center"/>
          </w:tcPr>
          <w:p w:rsidR="008020CD" w:rsidRPr="001D6483" w:rsidRDefault="008020CD" w:rsidP="0026095F">
            <w:pPr>
              <w:rPr>
                <w:rFonts w:ascii="Times New Roman" w:hAnsi="Times New Roman" w:cs="Times New Roman"/>
              </w:rPr>
            </w:pPr>
          </w:p>
        </w:tc>
        <w:tc>
          <w:tcPr>
            <w:tcW w:w="0" w:type="auto"/>
            <w:vAlign w:val="center"/>
          </w:tcPr>
          <w:p w:rsidR="008020CD" w:rsidRPr="001D6483" w:rsidRDefault="008020CD" w:rsidP="0026095F">
            <w:pPr>
              <w:rPr>
                <w:rFonts w:ascii="Times New Roman" w:hAnsi="Times New Roman" w:cs="Times New Roman"/>
              </w:rPr>
            </w:pPr>
          </w:p>
        </w:tc>
        <w:tc>
          <w:tcPr>
            <w:tcW w:w="0" w:type="auto"/>
            <w:vAlign w:val="center"/>
          </w:tcPr>
          <w:p w:rsidR="008020CD" w:rsidRPr="001D6483" w:rsidRDefault="008020CD" w:rsidP="0026095F">
            <w:pPr>
              <w:rPr>
                <w:rFonts w:ascii="Times New Roman" w:hAnsi="Times New Roman" w:cs="Times New Roman"/>
              </w:rPr>
            </w:pPr>
          </w:p>
        </w:tc>
        <w:tc>
          <w:tcPr>
            <w:tcW w:w="0" w:type="auto"/>
            <w:vAlign w:val="center"/>
          </w:tcPr>
          <w:p w:rsidR="008020CD" w:rsidRPr="001D6483" w:rsidRDefault="008020CD" w:rsidP="0026095F">
            <w:pPr>
              <w:rPr>
                <w:rFonts w:ascii="Times New Roman" w:hAnsi="Times New Roman" w:cs="Times New Roman"/>
              </w:rPr>
            </w:pPr>
          </w:p>
        </w:tc>
        <w:tc>
          <w:tcPr>
            <w:tcW w:w="0" w:type="auto"/>
            <w:vAlign w:val="center"/>
          </w:tcPr>
          <w:p w:rsidR="008020CD" w:rsidRPr="001D6483" w:rsidRDefault="00777AC0" w:rsidP="0026095F">
            <w:pPr>
              <w:rPr>
                <w:rFonts w:ascii="Times New Roman" w:hAnsi="Times New Roman" w:cs="Times New Roman"/>
              </w:rPr>
            </w:pPr>
            <w:r>
              <w:rPr>
                <w:rFonts w:ascii="Times New Roman" w:hAnsi="Times New Roman" w:cs="Times New Roman"/>
              </w:rPr>
              <w:t>In</w:t>
            </w:r>
            <w:r w:rsidR="0026095F">
              <w:rPr>
                <w:rFonts w:ascii="Times New Roman" w:hAnsi="Times New Roman" w:cs="Times New Roman"/>
              </w:rPr>
              <w:t xml:space="preserve"> decision making: involving local </w:t>
            </w:r>
            <w:r w:rsidR="008020CD">
              <w:rPr>
                <w:rFonts w:ascii="Times New Roman" w:hAnsi="Times New Roman" w:cs="Times New Roman"/>
              </w:rPr>
              <w:t>actors has a positive effect on AES effectiveness but is context</w:t>
            </w:r>
            <w:r w:rsidR="0026095F">
              <w:rPr>
                <w:rFonts w:ascii="Times New Roman" w:hAnsi="Times New Roman" w:cs="Times New Roman"/>
              </w:rPr>
              <w:t>-</w:t>
            </w:r>
            <w:r w:rsidR="008020CD">
              <w:rPr>
                <w:rFonts w:ascii="Times New Roman" w:hAnsi="Times New Roman" w:cs="Times New Roman"/>
              </w:rPr>
              <w:t xml:space="preserve"> dependent</w:t>
            </w:r>
          </w:p>
        </w:tc>
      </w:tr>
      <w:tr w:rsidR="001149A8" w:rsidRPr="001D6483" w:rsidTr="00B6740A">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Rural delivery funding decisions</w:t>
            </w:r>
          </w:p>
          <w:p w:rsidR="001D6483" w:rsidRPr="001D6483" w:rsidRDefault="001D6483" w:rsidP="0026095F">
            <w:pPr>
              <w:rPr>
                <w:rFonts w:ascii="Times New Roman" w:hAnsi="Times New Roman" w:cs="Times New Roman"/>
              </w:rPr>
            </w:pPr>
            <w:r w:rsidRPr="001D6483">
              <w:rPr>
                <w:rFonts w:ascii="Times New Roman" w:hAnsi="Times New Roman" w:cs="Times New Roman"/>
              </w:rPr>
              <w:t>(Curry 2012)</w:t>
            </w:r>
          </w:p>
        </w:tc>
        <w:tc>
          <w:tcPr>
            <w:tcW w:w="0" w:type="auto"/>
            <w:vAlign w:val="center"/>
          </w:tcPr>
          <w:p w:rsidR="001D6483" w:rsidRPr="001D6483" w:rsidRDefault="00AA4B9B" w:rsidP="0026095F">
            <w:pPr>
              <w:rPr>
                <w:rFonts w:ascii="Times New Roman" w:hAnsi="Times New Roman" w:cs="Times New Roman"/>
              </w:rPr>
            </w:pPr>
            <w:r>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p>
        </w:tc>
        <w:tc>
          <w:tcPr>
            <w:tcW w:w="0" w:type="auto"/>
            <w:vAlign w:val="center"/>
          </w:tcPr>
          <w:p w:rsidR="001D6483" w:rsidRPr="001D6483" w:rsidRDefault="00C1756D" w:rsidP="0026095F">
            <w:pPr>
              <w:rPr>
                <w:rFonts w:ascii="Times New Roman" w:hAnsi="Times New Roman" w:cs="Times New Roman"/>
              </w:rPr>
            </w:pPr>
            <w:r>
              <w:rPr>
                <w:rFonts w:ascii="Times New Roman" w:hAnsi="Times New Roman" w:cs="Times New Roman"/>
              </w:rPr>
              <w:t>M</w:t>
            </w:r>
            <w:r w:rsidR="001D6483" w:rsidRPr="001D6483">
              <w:rPr>
                <w:rFonts w:ascii="Times New Roman" w:hAnsi="Times New Roman" w:cs="Times New Roman"/>
              </w:rPr>
              <w:t>ission drift; increased reliance on volunteers</w:t>
            </w:r>
            <w:r w:rsidR="00AA4B9B">
              <w:rPr>
                <w:rFonts w:ascii="Times New Roman" w:hAnsi="Times New Roman" w:cs="Times New Roman"/>
              </w:rPr>
              <w:t xml:space="preserve"> (increased </w:t>
            </w:r>
            <w:r w:rsidR="00B26D41">
              <w:rPr>
                <w:rFonts w:ascii="Times New Roman" w:hAnsi="Times New Roman" w:cs="Times New Roman"/>
              </w:rPr>
              <w:t>TC</w:t>
            </w:r>
            <w:r>
              <w:rPr>
                <w:rFonts w:ascii="Times New Roman" w:hAnsi="Times New Roman" w:cs="Times New Roman"/>
              </w:rPr>
              <w:t>s</w:t>
            </w:r>
            <w:r w:rsidR="00AA4B9B">
              <w:rPr>
                <w:rFonts w:ascii="Times New Roman" w:hAnsi="Times New Roman" w:cs="Times New Roman"/>
              </w:rPr>
              <w:t>)</w:t>
            </w:r>
          </w:p>
        </w:tc>
      </w:tr>
      <w:tr w:rsidR="001149A8" w:rsidRPr="001D6483" w:rsidTr="00B26D41">
        <w:tc>
          <w:tcPr>
            <w:tcW w:w="0" w:type="auto"/>
            <w:vAlign w:val="center"/>
          </w:tcPr>
          <w:p w:rsidR="001D6483" w:rsidRPr="00B6740A" w:rsidRDefault="001D6483" w:rsidP="0026095F">
            <w:pPr>
              <w:rPr>
                <w:rFonts w:ascii="Times New Roman" w:hAnsi="Times New Roman"/>
                <w:lang w:val="fr-FR"/>
              </w:rPr>
            </w:pPr>
            <w:r w:rsidRPr="00CD7CE9">
              <w:rPr>
                <w:rFonts w:ascii="Times New Roman" w:hAnsi="Times New Roman"/>
                <w:lang w:val="fr-FR"/>
              </w:rPr>
              <w:t>Environmental policy (Coggan</w:t>
            </w:r>
            <w:r w:rsidR="001149A8" w:rsidRPr="00CD7CE9">
              <w:rPr>
                <w:rFonts w:ascii="Times New Roman" w:hAnsi="Times New Roman"/>
                <w:lang w:val="fr-FR"/>
              </w:rPr>
              <w:t xml:space="preserve"> </w:t>
            </w:r>
            <w:r w:rsidR="001149A8" w:rsidRPr="00CD7CE9">
              <w:rPr>
                <w:rFonts w:ascii="Times New Roman" w:hAnsi="Times New Roman"/>
                <w:i/>
                <w:lang w:val="fr-FR"/>
              </w:rPr>
              <w:t>et al,</w:t>
            </w:r>
            <w:r w:rsidRPr="00B6740A">
              <w:rPr>
                <w:rFonts w:ascii="Times New Roman" w:hAnsi="Times New Roman"/>
                <w:lang w:val="fr-FR"/>
              </w:rPr>
              <w:t xml:space="preserve"> 2010)</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p>
        </w:tc>
        <w:tc>
          <w:tcPr>
            <w:tcW w:w="0" w:type="auto"/>
            <w:vAlign w:val="center"/>
          </w:tcPr>
          <w:p w:rsidR="001D6483" w:rsidRPr="001D6483" w:rsidRDefault="00AA4B9B" w:rsidP="0026095F">
            <w:pPr>
              <w:rPr>
                <w:rFonts w:ascii="Times New Roman" w:hAnsi="Times New Roman" w:cs="Times New Roman"/>
              </w:rPr>
            </w:pPr>
            <w:r>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1D6483" w:rsidRDefault="001D6483" w:rsidP="0026095F">
            <w:pPr>
              <w:rPr>
                <w:rFonts w:ascii="Times New Roman" w:hAnsi="Times New Roman" w:cs="Times New Roman"/>
              </w:rPr>
            </w:pPr>
            <w:r w:rsidRPr="001D6483">
              <w:rPr>
                <w:rFonts w:ascii="Times New Roman" w:hAnsi="Times New Roman" w:cs="Times New Roman"/>
              </w:rPr>
              <w:t>X</w:t>
            </w:r>
          </w:p>
        </w:tc>
        <w:tc>
          <w:tcPr>
            <w:tcW w:w="0" w:type="auto"/>
            <w:vAlign w:val="center"/>
          </w:tcPr>
          <w:p w:rsidR="001D6483" w:rsidRPr="00B6740A" w:rsidRDefault="00A66B1F" w:rsidP="0026095F">
            <w:pPr>
              <w:rPr>
                <w:rFonts w:ascii="Times New Roman" w:hAnsi="Times New Roman"/>
              </w:rPr>
            </w:pPr>
            <w:r w:rsidRPr="00B6740A">
              <w:rPr>
                <w:rFonts w:ascii="Times New Roman" w:hAnsi="Times New Roman"/>
              </w:rPr>
              <w:t>Effects depend on actor perspectives</w:t>
            </w:r>
            <w:r w:rsidR="00777AC0" w:rsidRPr="00676BC0">
              <w:rPr>
                <w:rFonts w:ascii="Times New Roman" w:hAnsi="Times New Roman" w:cs="Times New Roman"/>
              </w:rPr>
              <w:t>, regulation/market approach</w:t>
            </w:r>
            <w:r w:rsidRPr="00B6740A">
              <w:rPr>
                <w:rFonts w:ascii="Times New Roman" w:hAnsi="Times New Roman"/>
              </w:rPr>
              <w:t xml:space="preserve"> &amp; transaction context;</w:t>
            </w:r>
            <w:r w:rsidR="00777AC0" w:rsidRPr="00676BC0">
              <w:rPr>
                <w:rFonts w:ascii="Times New Roman" w:hAnsi="Times New Roman" w:cs="Times New Roman"/>
              </w:rPr>
              <w:t xml:space="preserve"> </w:t>
            </w:r>
          </w:p>
          <w:p w:rsidR="00A66B1F" w:rsidRPr="00B6740A" w:rsidRDefault="00A66B1F" w:rsidP="0026095F">
            <w:pPr>
              <w:rPr>
                <w:rFonts w:ascii="Times New Roman" w:hAnsi="Times New Roman"/>
              </w:rPr>
            </w:pPr>
            <w:r w:rsidRPr="00B6740A">
              <w:rPr>
                <w:rFonts w:ascii="Times New Roman" w:hAnsi="Times New Roman"/>
              </w:rPr>
              <w:t xml:space="preserve">Can be </w:t>
            </w:r>
            <w:r w:rsidRPr="00676BC0">
              <w:rPr>
                <w:rFonts w:ascii="Times New Roman" w:hAnsi="Times New Roman" w:cs="Times New Roman"/>
              </w:rPr>
              <w:t>a</w:t>
            </w:r>
            <w:r w:rsidR="00777AC0" w:rsidRPr="00676BC0">
              <w:rPr>
                <w:rFonts w:ascii="Times New Roman" w:hAnsi="Times New Roman" w:cs="Times New Roman"/>
              </w:rPr>
              <w:t xml:space="preserve"> beneficial</w:t>
            </w:r>
            <w:r w:rsidRPr="00B6740A">
              <w:rPr>
                <w:rFonts w:ascii="Times New Roman" w:hAnsi="Times New Roman"/>
              </w:rPr>
              <w:t xml:space="preserve"> investment for futur</w:t>
            </w:r>
            <w:r w:rsidR="00B6740A">
              <w:rPr>
                <w:rFonts w:ascii="Times New Roman" w:hAnsi="Times New Roman"/>
              </w:rPr>
              <w:t>e</w:t>
            </w:r>
          </w:p>
        </w:tc>
      </w:tr>
    </w:tbl>
    <w:p w:rsidR="007C709A" w:rsidRDefault="007C709A" w:rsidP="008D745F">
      <w:pPr>
        <w:spacing w:after="0" w:line="360" w:lineRule="auto"/>
        <w:sectPr w:rsidR="007C709A" w:rsidSect="007C709A">
          <w:pgSz w:w="15840" w:h="12240" w:orient="landscape"/>
          <w:pgMar w:top="1440" w:right="1440" w:bottom="1440" w:left="1440" w:header="708" w:footer="708" w:gutter="0"/>
          <w:cols w:space="708"/>
          <w:docGrid w:linePitch="360"/>
        </w:sectPr>
      </w:pPr>
    </w:p>
    <w:p w:rsidR="00A572ED" w:rsidRDefault="00A572ED" w:rsidP="00A572ED">
      <w:pPr>
        <w:tabs>
          <w:tab w:val="left" w:pos="19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Beckman </w:t>
      </w:r>
      <w:r w:rsidRPr="001B6DE9">
        <w:rPr>
          <w:rFonts w:ascii="Times New Roman" w:hAnsi="Times New Roman" w:cs="Times New Roman"/>
          <w:i/>
          <w:sz w:val="24"/>
          <w:szCs w:val="24"/>
        </w:rPr>
        <w:t>et al.</w:t>
      </w:r>
      <w:r>
        <w:rPr>
          <w:rFonts w:ascii="Times New Roman" w:hAnsi="Times New Roman" w:cs="Times New Roman"/>
          <w:i/>
          <w:sz w:val="24"/>
          <w:szCs w:val="24"/>
        </w:rPr>
        <w:t xml:space="preserve"> </w:t>
      </w:r>
      <w:r w:rsidRPr="001B6DE9">
        <w:rPr>
          <w:rFonts w:ascii="Times New Roman" w:hAnsi="Times New Roman" w:cs="Times New Roman"/>
          <w:sz w:val="24"/>
          <w:szCs w:val="24"/>
        </w:rPr>
        <w:t xml:space="preserve">(2009) </w:t>
      </w:r>
      <w:r>
        <w:rPr>
          <w:rFonts w:ascii="Times New Roman" w:hAnsi="Times New Roman" w:cs="Times New Roman"/>
          <w:sz w:val="24"/>
          <w:szCs w:val="24"/>
        </w:rPr>
        <w:t>examining AESs in nine member states, found an increase in administrative transaction costs as a result of decentralization, but also potential for improved scheme effectiveness due to higher levels of local participation enabling improved tailoring of delivery approaches.</w:t>
      </w:r>
    </w:p>
    <w:p w:rsidR="00A572ED" w:rsidRPr="00A572ED" w:rsidRDefault="00A572ED" w:rsidP="00A572ED">
      <w:pPr>
        <w:spacing w:line="360" w:lineRule="auto"/>
        <w:rPr>
          <w:rFonts w:ascii="Times New Roman" w:hAnsi="Times New Roman" w:cs="Times New Roman"/>
          <w:b/>
          <w:sz w:val="24"/>
          <w:szCs w:val="24"/>
        </w:rPr>
      </w:pPr>
    </w:p>
    <w:p w:rsidR="0066755B" w:rsidRDefault="00817457" w:rsidP="008D745F">
      <w:pPr>
        <w:pStyle w:val="ListParagraph"/>
        <w:numPr>
          <w:ilvl w:val="0"/>
          <w:numId w:val="10"/>
        </w:numPr>
        <w:spacing w:line="360" w:lineRule="auto"/>
        <w:rPr>
          <w:rFonts w:ascii="Times New Roman" w:hAnsi="Times New Roman" w:cs="Times New Roman"/>
          <w:b/>
          <w:sz w:val="24"/>
          <w:szCs w:val="24"/>
        </w:rPr>
      </w:pPr>
      <w:r w:rsidRPr="003D7DF8">
        <w:rPr>
          <w:rFonts w:ascii="Times New Roman" w:hAnsi="Times New Roman" w:cs="Times New Roman"/>
          <w:b/>
          <w:sz w:val="24"/>
          <w:szCs w:val="24"/>
        </w:rPr>
        <w:t xml:space="preserve">Rural Development Programmes and </w:t>
      </w:r>
      <w:r w:rsidR="00705960">
        <w:rPr>
          <w:rFonts w:ascii="Times New Roman" w:hAnsi="Times New Roman" w:cs="Times New Roman"/>
          <w:b/>
          <w:sz w:val="24"/>
          <w:szCs w:val="24"/>
        </w:rPr>
        <w:t>Transaction C</w:t>
      </w:r>
      <w:r w:rsidR="0066755B">
        <w:rPr>
          <w:rFonts w:ascii="Times New Roman" w:hAnsi="Times New Roman" w:cs="Times New Roman"/>
          <w:b/>
          <w:sz w:val="24"/>
          <w:szCs w:val="24"/>
        </w:rPr>
        <w:t>osts</w:t>
      </w:r>
    </w:p>
    <w:p w:rsidR="00280B39" w:rsidRDefault="001149A8" w:rsidP="008D745F">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3D7DF8" w:rsidRPr="003D7DF8">
        <w:rPr>
          <w:rFonts w:ascii="Times New Roman" w:hAnsi="Times New Roman" w:cs="Times New Roman"/>
          <w:sz w:val="24"/>
          <w:szCs w:val="24"/>
        </w:rPr>
        <w:t xml:space="preserve">valuation of </w:t>
      </w:r>
      <w:r w:rsidR="00671972">
        <w:rPr>
          <w:rFonts w:ascii="Times New Roman" w:hAnsi="Times New Roman" w:cs="Times New Roman"/>
          <w:sz w:val="24"/>
          <w:szCs w:val="24"/>
        </w:rPr>
        <w:t>rural development programmes</w:t>
      </w:r>
      <w:r w:rsidR="003D7DF8" w:rsidRPr="003D7DF8">
        <w:rPr>
          <w:rFonts w:ascii="Times New Roman" w:hAnsi="Times New Roman" w:cs="Times New Roman"/>
          <w:sz w:val="24"/>
          <w:szCs w:val="24"/>
        </w:rPr>
        <w:t xml:space="preserve"> </w:t>
      </w:r>
      <w:r w:rsidR="00B26D41">
        <w:rPr>
          <w:rFonts w:ascii="Times New Roman" w:hAnsi="Times New Roman" w:cs="Times New Roman"/>
          <w:sz w:val="24"/>
          <w:szCs w:val="24"/>
        </w:rPr>
        <w:t xml:space="preserve">within the CAP </w:t>
      </w:r>
      <w:r w:rsidR="00A724FC">
        <w:rPr>
          <w:rFonts w:ascii="Times New Roman" w:hAnsi="Times New Roman" w:cs="Times New Roman"/>
          <w:sz w:val="24"/>
          <w:szCs w:val="24"/>
        </w:rPr>
        <w:t>has be</w:t>
      </w:r>
      <w:r w:rsidR="00E90359">
        <w:rPr>
          <w:rFonts w:ascii="Times New Roman" w:hAnsi="Times New Roman" w:cs="Times New Roman"/>
          <w:sz w:val="24"/>
          <w:szCs w:val="24"/>
        </w:rPr>
        <w:t>come</w:t>
      </w:r>
      <w:r w:rsidR="00A724FC">
        <w:rPr>
          <w:rFonts w:ascii="Times New Roman" w:hAnsi="Times New Roman" w:cs="Times New Roman"/>
          <w:sz w:val="24"/>
          <w:szCs w:val="24"/>
        </w:rPr>
        <w:t xml:space="preserve"> an </w:t>
      </w:r>
      <w:r w:rsidR="003D7DF8" w:rsidRPr="003D7DF8">
        <w:rPr>
          <w:rFonts w:ascii="Times New Roman" w:hAnsi="Times New Roman" w:cs="Times New Roman"/>
          <w:sz w:val="24"/>
          <w:szCs w:val="24"/>
        </w:rPr>
        <w:t xml:space="preserve">increasing challenge for Member States and for the EU. </w:t>
      </w:r>
      <w:r w:rsidR="00447DBF">
        <w:rPr>
          <w:rFonts w:ascii="Times New Roman" w:hAnsi="Times New Roman" w:cs="Times New Roman"/>
          <w:sz w:val="24"/>
          <w:szCs w:val="24"/>
        </w:rPr>
        <w:t xml:space="preserve"> </w:t>
      </w:r>
      <w:r w:rsidR="00EE7D97">
        <w:rPr>
          <w:rFonts w:ascii="Times New Roman" w:hAnsi="Times New Roman" w:cs="Times New Roman"/>
          <w:sz w:val="24"/>
          <w:szCs w:val="24"/>
        </w:rPr>
        <w:t>Despite</w:t>
      </w:r>
      <w:r w:rsidR="003D7DF8" w:rsidRPr="003D7DF8">
        <w:rPr>
          <w:rFonts w:ascii="Times New Roman" w:hAnsi="Times New Roman" w:cs="Times New Roman"/>
          <w:sz w:val="24"/>
          <w:szCs w:val="24"/>
        </w:rPr>
        <w:t xml:space="preserve"> only one programme period</w:t>
      </w:r>
      <w:r w:rsidR="004F2BAE">
        <w:rPr>
          <w:rFonts w:ascii="Times New Roman" w:hAnsi="Times New Roman" w:cs="Times New Roman"/>
          <w:sz w:val="24"/>
          <w:szCs w:val="24"/>
        </w:rPr>
        <w:t xml:space="preserve"> (2000-2006)</w:t>
      </w:r>
      <w:r w:rsidR="003D7DF8" w:rsidRPr="003D7DF8">
        <w:rPr>
          <w:rFonts w:ascii="Times New Roman" w:hAnsi="Times New Roman" w:cs="Times New Roman"/>
          <w:sz w:val="24"/>
          <w:szCs w:val="24"/>
        </w:rPr>
        <w:t xml:space="preserve"> </w:t>
      </w:r>
      <w:r w:rsidR="00EE7D97">
        <w:rPr>
          <w:rFonts w:ascii="Times New Roman" w:hAnsi="Times New Roman" w:cs="Times New Roman"/>
          <w:sz w:val="24"/>
          <w:szCs w:val="24"/>
        </w:rPr>
        <w:t xml:space="preserve">being </w:t>
      </w:r>
      <w:r w:rsidR="005A7573">
        <w:rPr>
          <w:rFonts w:ascii="Times New Roman" w:hAnsi="Times New Roman" w:cs="Times New Roman"/>
          <w:sz w:val="24"/>
          <w:szCs w:val="24"/>
        </w:rPr>
        <w:t>fully evalu</w:t>
      </w:r>
      <w:r w:rsidR="00326FDD">
        <w:rPr>
          <w:rFonts w:ascii="Times New Roman" w:hAnsi="Times New Roman" w:cs="Times New Roman"/>
          <w:sz w:val="24"/>
          <w:szCs w:val="24"/>
        </w:rPr>
        <w:t>at</w:t>
      </w:r>
      <w:r w:rsidR="005A7573">
        <w:rPr>
          <w:rFonts w:ascii="Times New Roman" w:hAnsi="Times New Roman" w:cs="Times New Roman"/>
          <w:sz w:val="24"/>
          <w:szCs w:val="24"/>
        </w:rPr>
        <w:t>ed</w:t>
      </w:r>
      <w:r>
        <w:rPr>
          <w:rStyle w:val="FootnoteReference"/>
          <w:rFonts w:ascii="Times New Roman" w:hAnsi="Times New Roman" w:cs="Times New Roman"/>
          <w:sz w:val="24"/>
          <w:szCs w:val="24"/>
        </w:rPr>
        <w:footnoteReference w:id="6"/>
      </w:r>
      <w:r w:rsidR="00E90359">
        <w:rPr>
          <w:rFonts w:ascii="Times New Roman" w:hAnsi="Times New Roman" w:cs="Times New Roman"/>
          <w:sz w:val="24"/>
          <w:szCs w:val="24"/>
        </w:rPr>
        <w:t>,</w:t>
      </w:r>
      <w:r w:rsidR="003D7DF8" w:rsidRPr="003D7DF8">
        <w:rPr>
          <w:rFonts w:ascii="Times New Roman" w:hAnsi="Times New Roman" w:cs="Times New Roman"/>
          <w:sz w:val="24"/>
          <w:szCs w:val="24"/>
        </w:rPr>
        <w:t xml:space="preserve"> </w:t>
      </w:r>
      <w:r w:rsidR="00EE7D97">
        <w:rPr>
          <w:rFonts w:ascii="Times New Roman" w:hAnsi="Times New Roman" w:cs="Times New Roman"/>
          <w:sz w:val="24"/>
          <w:szCs w:val="24"/>
        </w:rPr>
        <w:t>operation of</w:t>
      </w:r>
      <w:r w:rsidR="003D7DF8" w:rsidRPr="003D7DF8">
        <w:rPr>
          <w:rFonts w:ascii="Times New Roman" w:hAnsi="Times New Roman" w:cs="Times New Roman"/>
          <w:sz w:val="24"/>
          <w:szCs w:val="24"/>
        </w:rPr>
        <w:t xml:space="preserve"> programmes </w:t>
      </w:r>
      <w:r w:rsidR="00FA0BC6">
        <w:rPr>
          <w:rFonts w:ascii="Times New Roman" w:hAnsi="Times New Roman" w:cs="Times New Roman"/>
          <w:sz w:val="24"/>
          <w:szCs w:val="24"/>
        </w:rPr>
        <w:t xml:space="preserve">over </w:t>
      </w:r>
      <w:r w:rsidR="003D7DF8" w:rsidRPr="003D7DF8">
        <w:rPr>
          <w:rFonts w:ascii="Times New Roman" w:hAnsi="Times New Roman" w:cs="Times New Roman"/>
          <w:sz w:val="24"/>
          <w:szCs w:val="24"/>
        </w:rPr>
        <w:t xml:space="preserve">more than a decade has raised expectations </w:t>
      </w:r>
      <w:r w:rsidR="00326FDD">
        <w:rPr>
          <w:rFonts w:ascii="Times New Roman" w:hAnsi="Times New Roman" w:cs="Times New Roman"/>
          <w:sz w:val="24"/>
          <w:szCs w:val="24"/>
        </w:rPr>
        <w:t>about the capacity</w:t>
      </w:r>
      <w:r w:rsidRPr="003D7DF8">
        <w:rPr>
          <w:rFonts w:ascii="Times New Roman" w:hAnsi="Times New Roman" w:cs="Times New Roman"/>
          <w:sz w:val="24"/>
          <w:szCs w:val="24"/>
        </w:rPr>
        <w:t xml:space="preserve"> </w:t>
      </w:r>
      <w:r w:rsidR="003D7DF8" w:rsidRPr="003D7DF8">
        <w:rPr>
          <w:rFonts w:ascii="Times New Roman" w:hAnsi="Times New Roman" w:cs="Times New Roman"/>
          <w:sz w:val="24"/>
          <w:szCs w:val="24"/>
        </w:rPr>
        <w:t xml:space="preserve">to draw meaningful conclusions </w:t>
      </w:r>
      <w:r w:rsidR="00326FDD">
        <w:rPr>
          <w:rFonts w:ascii="Times New Roman" w:hAnsi="Times New Roman" w:cs="Times New Roman"/>
          <w:sz w:val="24"/>
          <w:szCs w:val="24"/>
        </w:rPr>
        <w:t>regarding</w:t>
      </w:r>
      <w:r w:rsidR="003D7DF8" w:rsidRPr="003D7DF8">
        <w:rPr>
          <w:rFonts w:ascii="Times New Roman" w:hAnsi="Times New Roman" w:cs="Times New Roman"/>
          <w:sz w:val="24"/>
          <w:szCs w:val="24"/>
        </w:rPr>
        <w:t xml:space="preserve"> </w:t>
      </w:r>
      <w:r>
        <w:rPr>
          <w:rFonts w:ascii="Times New Roman" w:hAnsi="Times New Roman" w:cs="Times New Roman"/>
          <w:sz w:val="24"/>
          <w:szCs w:val="24"/>
        </w:rPr>
        <w:t>performance</w:t>
      </w:r>
      <w:r w:rsidR="00E74E8C">
        <w:rPr>
          <w:rFonts w:ascii="Times New Roman" w:hAnsi="Times New Roman" w:cs="Times New Roman"/>
          <w:sz w:val="24"/>
          <w:szCs w:val="24"/>
        </w:rPr>
        <w:t xml:space="preserve">. </w:t>
      </w:r>
      <w:r w:rsidR="00705960">
        <w:rPr>
          <w:rFonts w:ascii="Times New Roman" w:hAnsi="Times New Roman" w:cs="Times New Roman"/>
          <w:sz w:val="24"/>
          <w:szCs w:val="24"/>
        </w:rPr>
        <w:t xml:space="preserve"> </w:t>
      </w:r>
      <w:r w:rsidR="002130FC">
        <w:rPr>
          <w:rFonts w:ascii="Times New Roman" w:hAnsi="Times New Roman" w:cs="Times New Roman"/>
          <w:sz w:val="24"/>
          <w:szCs w:val="24"/>
        </w:rPr>
        <w:t>Reflecting this situation,</w:t>
      </w:r>
      <w:r w:rsidR="003D7DF8" w:rsidRPr="003D7DF8">
        <w:rPr>
          <w:rFonts w:ascii="Times New Roman" w:hAnsi="Times New Roman" w:cs="Times New Roman"/>
          <w:sz w:val="24"/>
          <w:szCs w:val="24"/>
        </w:rPr>
        <w:t xml:space="preserve"> </w:t>
      </w:r>
      <w:r w:rsidR="002130FC">
        <w:rPr>
          <w:rFonts w:ascii="Times New Roman" w:hAnsi="Times New Roman" w:cs="Times New Roman"/>
          <w:sz w:val="24"/>
          <w:szCs w:val="24"/>
        </w:rPr>
        <w:t>the</w:t>
      </w:r>
      <w:r w:rsidR="003D7DF8" w:rsidRPr="003D7DF8">
        <w:rPr>
          <w:rFonts w:ascii="Times New Roman" w:hAnsi="Times New Roman" w:cs="Times New Roman"/>
          <w:sz w:val="24"/>
          <w:szCs w:val="24"/>
        </w:rPr>
        <w:t xml:space="preserve"> </w:t>
      </w:r>
      <w:r w:rsidR="004F2BAE">
        <w:rPr>
          <w:rFonts w:ascii="Times New Roman" w:hAnsi="Times New Roman" w:cs="Times New Roman"/>
          <w:sz w:val="24"/>
          <w:szCs w:val="24"/>
        </w:rPr>
        <w:t>forma</w:t>
      </w:r>
      <w:r w:rsidR="003D7DF8" w:rsidRPr="003D7DF8">
        <w:rPr>
          <w:rFonts w:ascii="Times New Roman" w:hAnsi="Times New Roman" w:cs="Times New Roman"/>
          <w:sz w:val="24"/>
          <w:szCs w:val="24"/>
        </w:rPr>
        <w:t>l</w:t>
      </w:r>
      <w:r w:rsidR="004F2BAE">
        <w:rPr>
          <w:rFonts w:ascii="Times New Roman" w:hAnsi="Times New Roman" w:cs="Times New Roman"/>
          <w:sz w:val="24"/>
          <w:szCs w:val="24"/>
        </w:rPr>
        <w:t xml:space="preserve"> </w:t>
      </w:r>
      <w:r w:rsidR="003D7DF8" w:rsidRPr="003D7DF8">
        <w:rPr>
          <w:rFonts w:ascii="Times New Roman" w:hAnsi="Times New Roman" w:cs="Times New Roman"/>
          <w:sz w:val="24"/>
          <w:szCs w:val="24"/>
        </w:rPr>
        <w:t>evaluation process</w:t>
      </w:r>
      <w:r w:rsidR="00E74E8C">
        <w:rPr>
          <w:rFonts w:ascii="Times New Roman" w:hAnsi="Times New Roman" w:cs="Times New Roman"/>
          <w:sz w:val="24"/>
          <w:szCs w:val="24"/>
        </w:rPr>
        <w:t xml:space="preserve"> </w:t>
      </w:r>
      <w:r w:rsidR="003D7DF8" w:rsidRPr="003D7DF8">
        <w:rPr>
          <w:rFonts w:ascii="Times New Roman" w:hAnsi="Times New Roman" w:cs="Times New Roman"/>
          <w:sz w:val="24"/>
          <w:szCs w:val="24"/>
        </w:rPr>
        <w:t xml:space="preserve">has been </w:t>
      </w:r>
      <w:r w:rsidR="00E90359">
        <w:rPr>
          <w:rFonts w:ascii="Times New Roman" w:hAnsi="Times New Roman" w:cs="Times New Roman"/>
          <w:sz w:val="24"/>
          <w:szCs w:val="24"/>
        </w:rPr>
        <w:t>parallel</w:t>
      </w:r>
      <w:r w:rsidR="003D7DF8" w:rsidRPr="003D7DF8">
        <w:rPr>
          <w:rFonts w:ascii="Times New Roman" w:hAnsi="Times New Roman" w:cs="Times New Roman"/>
          <w:sz w:val="24"/>
          <w:szCs w:val="24"/>
        </w:rPr>
        <w:t>ed by a number of studies undertaken for the European Commission</w:t>
      </w:r>
      <w:r w:rsidR="00E90359">
        <w:rPr>
          <w:rFonts w:ascii="Times New Roman" w:hAnsi="Times New Roman" w:cs="Times New Roman"/>
          <w:sz w:val="24"/>
          <w:szCs w:val="24"/>
        </w:rPr>
        <w:t xml:space="preserve"> and</w:t>
      </w:r>
      <w:r w:rsidR="003D7DF8" w:rsidRPr="003D7DF8">
        <w:rPr>
          <w:rFonts w:ascii="Times New Roman" w:hAnsi="Times New Roman" w:cs="Times New Roman"/>
          <w:sz w:val="24"/>
          <w:szCs w:val="24"/>
        </w:rPr>
        <w:t xml:space="preserve"> by the European Court of Auditors, NGOs and other policy actors, notably the European Network for Rural Development (ENRD)</w:t>
      </w:r>
      <w:r>
        <w:rPr>
          <w:rStyle w:val="FootnoteReference"/>
          <w:rFonts w:ascii="Times New Roman" w:hAnsi="Times New Roman" w:cs="Times New Roman"/>
          <w:sz w:val="24"/>
          <w:szCs w:val="24"/>
        </w:rPr>
        <w:footnoteReference w:id="7"/>
      </w:r>
      <w:r w:rsidR="003D7DF8" w:rsidRPr="003D7DF8">
        <w:rPr>
          <w:rFonts w:ascii="Times New Roman" w:hAnsi="Times New Roman" w:cs="Times New Roman"/>
          <w:sz w:val="24"/>
          <w:szCs w:val="24"/>
        </w:rPr>
        <w:t xml:space="preserve">. </w:t>
      </w:r>
      <w:r w:rsidR="00E74E8C">
        <w:rPr>
          <w:rFonts w:ascii="Times New Roman" w:hAnsi="Times New Roman" w:cs="Times New Roman"/>
          <w:sz w:val="24"/>
          <w:szCs w:val="24"/>
        </w:rPr>
        <w:t xml:space="preserve"> </w:t>
      </w:r>
      <w:r w:rsidR="00FA0BC6">
        <w:rPr>
          <w:rFonts w:ascii="Times New Roman" w:hAnsi="Times New Roman" w:cs="Times New Roman"/>
          <w:sz w:val="24"/>
          <w:szCs w:val="24"/>
        </w:rPr>
        <w:t>T</w:t>
      </w:r>
      <w:r w:rsidR="003D7DF8" w:rsidRPr="003D7DF8">
        <w:rPr>
          <w:rFonts w:ascii="Times New Roman" w:hAnsi="Times New Roman" w:cs="Times New Roman"/>
          <w:sz w:val="24"/>
          <w:szCs w:val="24"/>
        </w:rPr>
        <w:t>hese studies and the official meta-evaluations of Programmes (</w:t>
      </w:r>
      <w:r w:rsidR="003D7DF8" w:rsidRPr="0026095F">
        <w:rPr>
          <w:rFonts w:ascii="Times New Roman" w:hAnsi="Times New Roman" w:cs="Times New Roman"/>
          <w:i/>
          <w:sz w:val="24"/>
          <w:szCs w:val="24"/>
        </w:rPr>
        <w:t>ex-post</w:t>
      </w:r>
      <w:r w:rsidR="003D7DF8" w:rsidRPr="003D7DF8">
        <w:rPr>
          <w:rFonts w:ascii="Times New Roman" w:hAnsi="Times New Roman" w:cs="Times New Roman"/>
          <w:sz w:val="24"/>
          <w:szCs w:val="24"/>
        </w:rPr>
        <w:t xml:space="preserve"> </w:t>
      </w:r>
      <w:r w:rsidR="00BF6752">
        <w:rPr>
          <w:rFonts w:ascii="Times New Roman" w:hAnsi="Times New Roman" w:cs="Times New Roman"/>
          <w:sz w:val="24"/>
          <w:szCs w:val="24"/>
        </w:rPr>
        <w:t xml:space="preserve">evaluation </w:t>
      </w:r>
      <w:r w:rsidR="003D7DF8" w:rsidRPr="003D7DF8">
        <w:rPr>
          <w:rFonts w:ascii="Times New Roman" w:hAnsi="Times New Roman" w:cs="Times New Roman"/>
          <w:sz w:val="24"/>
          <w:szCs w:val="24"/>
        </w:rPr>
        <w:t>in 2</w:t>
      </w:r>
      <w:r w:rsidR="00B3791B">
        <w:rPr>
          <w:rFonts w:ascii="Times New Roman" w:hAnsi="Times New Roman" w:cs="Times New Roman"/>
          <w:sz w:val="24"/>
          <w:szCs w:val="24"/>
        </w:rPr>
        <w:t>008 for the 2000-2006 RDPs</w:t>
      </w:r>
      <w:r w:rsidR="003D7DF8" w:rsidRPr="003D7DF8">
        <w:rPr>
          <w:rFonts w:ascii="Times New Roman" w:hAnsi="Times New Roman" w:cs="Times New Roman"/>
          <w:sz w:val="24"/>
          <w:szCs w:val="24"/>
        </w:rPr>
        <w:t xml:space="preserve">, and mid-term </w:t>
      </w:r>
      <w:r w:rsidR="00BF6752">
        <w:rPr>
          <w:rFonts w:ascii="Times New Roman" w:hAnsi="Times New Roman" w:cs="Times New Roman"/>
          <w:sz w:val="24"/>
          <w:szCs w:val="24"/>
        </w:rPr>
        <w:t xml:space="preserve">evaluation </w:t>
      </w:r>
      <w:r w:rsidR="003D7DF8" w:rsidRPr="003D7DF8">
        <w:rPr>
          <w:rFonts w:ascii="Times New Roman" w:hAnsi="Times New Roman" w:cs="Times New Roman"/>
          <w:sz w:val="24"/>
          <w:szCs w:val="24"/>
        </w:rPr>
        <w:t xml:space="preserve">in 2011 for the 2007-2013 </w:t>
      </w:r>
      <w:r w:rsidR="00F14D77">
        <w:rPr>
          <w:rFonts w:ascii="Times New Roman" w:hAnsi="Times New Roman" w:cs="Times New Roman"/>
          <w:sz w:val="24"/>
          <w:szCs w:val="24"/>
        </w:rPr>
        <w:t>P</w:t>
      </w:r>
      <w:r w:rsidR="003D7DF8" w:rsidRPr="003D7DF8">
        <w:rPr>
          <w:rFonts w:ascii="Times New Roman" w:hAnsi="Times New Roman" w:cs="Times New Roman"/>
          <w:sz w:val="24"/>
          <w:szCs w:val="24"/>
        </w:rPr>
        <w:t xml:space="preserve">rogrammes), </w:t>
      </w:r>
      <w:r w:rsidR="00BF6752">
        <w:rPr>
          <w:rFonts w:ascii="Times New Roman" w:hAnsi="Times New Roman" w:cs="Times New Roman"/>
          <w:sz w:val="24"/>
          <w:szCs w:val="24"/>
        </w:rPr>
        <w:t>have</w:t>
      </w:r>
      <w:r w:rsidR="003D7DF8" w:rsidRPr="003D7DF8">
        <w:rPr>
          <w:rFonts w:ascii="Times New Roman" w:hAnsi="Times New Roman" w:cs="Times New Roman"/>
          <w:sz w:val="24"/>
          <w:szCs w:val="24"/>
        </w:rPr>
        <w:t xml:space="preserve"> </w:t>
      </w:r>
      <w:r w:rsidR="00671972">
        <w:rPr>
          <w:rFonts w:ascii="Times New Roman" w:hAnsi="Times New Roman" w:cs="Times New Roman"/>
          <w:sz w:val="24"/>
          <w:szCs w:val="24"/>
        </w:rPr>
        <w:t>not</w:t>
      </w:r>
      <w:r w:rsidR="00F14D77">
        <w:rPr>
          <w:rFonts w:ascii="Times New Roman" w:hAnsi="Times New Roman" w:cs="Times New Roman"/>
          <w:sz w:val="24"/>
          <w:szCs w:val="24"/>
        </w:rPr>
        <w:t>ed</w:t>
      </w:r>
      <w:r w:rsidR="003D7DF8" w:rsidRPr="003D7DF8">
        <w:rPr>
          <w:rFonts w:ascii="Times New Roman" w:hAnsi="Times New Roman" w:cs="Times New Roman"/>
          <w:sz w:val="24"/>
          <w:szCs w:val="24"/>
        </w:rPr>
        <w:t xml:space="preserve"> that </w:t>
      </w:r>
      <w:r w:rsidR="002F65AE">
        <w:rPr>
          <w:rFonts w:ascii="Times New Roman" w:hAnsi="Times New Roman" w:cs="Times New Roman"/>
          <w:sz w:val="24"/>
          <w:szCs w:val="24"/>
        </w:rPr>
        <w:t>RDPs</w:t>
      </w:r>
      <w:r w:rsidR="003D7DF8" w:rsidRPr="003D7DF8">
        <w:rPr>
          <w:rFonts w:ascii="Times New Roman" w:hAnsi="Times New Roman" w:cs="Times New Roman"/>
          <w:sz w:val="24"/>
          <w:szCs w:val="24"/>
        </w:rPr>
        <w:t xml:space="preserve"> </w:t>
      </w:r>
      <w:r w:rsidR="002F65AE">
        <w:rPr>
          <w:rFonts w:ascii="Times New Roman" w:hAnsi="Times New Roman" w:cs="Times New Roman"/>
          <w:sz w:val="24"/>
          <w:szCs w:val="24"/>
        </w:rPr>
        <w:t>show</w:t>
      </w:r>
      <w:r w:rsidR="003D7DF8" w:rsidRPr="003D7DF8">
        <w:rPr>
          <w:rFonts w:ascii="Times New Roman" w:hAnsi="Times New Roman" w:cs="Times New Roman"/>
          <w:sz w:val="24"/>
          <w:szCs w:val="24"/>
        </w:rPr>
        <w:t xml:space="preserve"> </w:t>
      </w:r>
      <w:r w:rsidR="002F65AE">
        <w:rPr>
          <w:rFonts w:ascii="Times New Roman" w:hAnsi="Times New Roman" w:cs="Times New Roman"/>
          <w:sz w:val="24"/>
          <w:szCs w:val="24"/>
        </w:rPr>
        <w:t xml:space="preserve">many </w:t>
      </w:r>
      <w:r w:rsidR="003D7DF8" w:rsidRPr="003D7DF8">
        <w:rPr>
          <w:rFonts w:ascii="Times New Roman" w:hAnsi="Times New Roman" w:cs="Times New Roman"/>
          <w:sz w:val="24"/>
          <w:szCs w:val="24"/>
        </w:rPr>
        <w:t>weaknesses in performance</w:t>
      </w:r>
      <w:r w:rsidR="002F65AE">
        <w:rPr>
          <w:rFonts w:ascii="Times New Roman" w:hAnsi="Times New Roman" w:cs="Times New Roman"/>
          <w:sz w:val="24"/>
          <w:szCs w:val="24"/>
        </w:rPr>
        <w:t xml:space="preserve">, falling short of </w:t>
      </w:r>
      <w:r w:rsidR="00BF6752">
        <w:rPr>
          <w:rFonts w:ascii="Times New Roman" w:hAnsi="Times New Roman" w:cs="Times New Roman"/>
          <w:sz w:val="24"/>
          <w:szCs w:val="24"/>
        </w:rPr>
        <w:t xml:space="preserve">achieving </w:t>
      </w:r>
      <w:r w:rsidR="002F65AE">
        <w:rPr>
          <w:rFonts w:ascii="Times New Roman" w:hAnsi="Times New Roman" w:cs="Times New Roman"/>
          <w:sz w:val="24"/>
          <w:szCs w:val="24"/>
        </w:rPr>
        <w:t>significant impact in economic, environmental and/or social terms</w:t>
      </w:r>
      <w:r w:rsidR="00542ECB">
        <w:rPr>
          <w:rFonts w:ascii="Times New Roman" w:hAnsi="Times New Roman" w:cs="Times New Roman"/>
          <w:sz w:val="24"/>
          <w:szCs w:val="24"/>
        </w:rPr>
        <w:t xml:space="preserve"> (see, for example, Schuh </w:t>
      </w:r>
      <w:r w:rsidR="00542ECB">
        <w:rPr>
          <w:rFonts w:ascii="Times New Roman" w:hAnsi="Times New Roman" w:cs="Times New Roman"/>
          <w:i/>
          <w:sz w:val="24"/>
          <w:szCs w:val="24"/>
        </w:rPr>
        <w:t>et al</w:t>
      </w:r>
      <w:r w:rsidR="00542ECB">
        <w:rPr>
          <w:rFonts w:ascii="Times New Roman" w:hAnsi="Times New Roman" w:cs="Times New Roman"/>
          <w:sz w:val="24"/>
          <w:szCs w:val="24"/>
        </w:rPr>
        <w:t>, 2012)</w:t>
      </w:r>
      <w:r w:rsidR="003D7DF8" w:rsidRPr="003D7DF8">
        <w:rPr>
          <w:rFonts w:ascii="Times New Roman" w:hAnsi="Times New Roman" w:cs="Times New Roman"/>
          <w:sz w:val="24"/>
          <w:szCs w:val="24"/>
        </w:rPr>
        <w:t xml:space="preserve">. </w:t>
      </w:r>
      <w:r w:rsidR="00E74E8C">
        <w:rPr>
          <w:rFonts w:ascii="Times New Roman" w:hAnsi="Times New Roman" w:cs="Times New Roman"/>
          <w:sz w:val="24"/>
          <w:szCs w:val="24"/>
        </w:rPr>
        <w:t xml:space="preserve"> </w:t>
      </w:r>
      <w:r w:rsidR="00BF6752">
        <w:rPr>
          <w:rFonts w:ascii="Times New Roman" w:hAnsi="Times New Roman" w:cs="Times New Roman"/>
          <w:sz w:val="24"/>
          <w:szCs w:val="24"/>
        </w:rPr>
        <w:t>I</w:t>
      </w:r>
      <w:r w:rsidR="003D7DF8" w:rsidRPr="003D7DF8">
        <w:rPr>
          <w:rFonts w:ascii="Times New Roman" w:hAnsi="Times New Roman" w:cs="Times New Roman"/>
          <w:sz w:val="24"/>
          <w:szCs w:val="24"/>
        </w:rPr>
        <w:t xml:space="preserve">ssues identified in these </w:t>
      </w:r>
      <w:r w:rsidR="002130FC">
        <w:rPr>
          <w:rFonts w:ascii="Times New Roman" w:hAnsi="Times New Roman" w:cs="Times New Roman"/>
          <w:sz w:val="24"/>
          <w:szCs w:val="24"/>
        </w:rPr>
        <w:t xml:space="preserve">evaluation </w:t>
      </w:r>
      <w:r w:rsidR="003D7DF8" w:rsidRPr="003D7DF8">
        <w:rPr>
          <w:rFonts w:ascii="Times New Roman" w:hAnsi="Times New Roman" w:cs="Times New Roman"/>
          <w:sz w:val="24"/>
          <w:szCs w:val="24"/>
        </w:rPr>
        <w:t xml:space="preserve">studies </w:t>
      </w:r>
      <w:r w:rsidR="00777AC0">
        <w:rPr>
          <w:rFonts w:ascii="Times New Roman" w:hAnsi="Times New Roman" w:cs="Times New Roman"/>
          <w:sz w:val="24"/>
          <w:szCs w:val="24"/>
        </w:rPr>
        <w:t>as contributing to poor performance</w:t>
      </w:r>
      <w:r w:rsidR="003D7DF8" w:rsidRPr="003D7DF8">
        <w:rPr>
          <w:rFonts w:ascii="Times New Roman" w:hAnsi="Times New Roman" w:cs="Times New Roman"/>
          <w:sz w:val="24"/>
          <w:szCs w:val="24"/>
        </w:rPr>
        <w:t xml:space="preserve"> </w:t>
      </w:r>
      <w:r w:rsidR="00E90359">
        <w:rPr>
          <w:rFonts w:ascii="Times New Roman" w:hAnsi="Times New Roman" w:cs="Times New Roman"/>
          <w:sz w:val="24"/>
          <w:szCs w:val="24"/>
        </w:rPr>
        <w:t>include</w:t>
      </w:r>
      <w:r w:rsidR="00BF6752">
        <w:rPr>
          <w:rFonts w:ascii="Times New Roman" w:hAnsi="Times New Roman" w:cs="Times New Roman"/>
          <w:sz w:val="24"/>
          <w:szCs w:val="24"/>
        </w:rPr>
        <w:t xml:space="preserve"> </w:t>
      </w:r>
      <w:r w:rsidR="00671972">
        <w:rPr>
          <w:rFonts w:ascii="Times New Roman" w:hAnsi="Times New Roman" w:cs="Times New Roman"/>
          <w:sz w:val="24"/>
          <w:szCs w:val="24"/>
        </w:rPr>
        <w:t>several</w:t>
      </w:r>
      <w:r w:rsidR="00BF6752">
        <w:rPr>
          <w:rFonts w:ascii="Times New Roman" w:hAnsi="Times New Roman" w:cs="Times New Roman"/>
          <w:sz w:val="24"/>
          <w:szCs w:val="24"/>
        </w:rPr>
        <w:t xml:space="preserve"> that can be </w:t>
      </w:r>
      <w:r w:rsidR="009617C1">
        <w:rPr>
          <w:rFonts w:ascii="Times New Roman" w:hAnsi="Times New Roman" w:cs="Times New Roman"/>
          <w:sz w:val="24"/>
          <w:szCs w:val="24"/>
        </w:rPr>
        <w:t xml:space="preserve">recognized </w:t>
      </w:r>
      <w:r w:rsidR="00BF6752">
        <w:rPr>
          <w:rFonts w:ascii="Times New Roman" w:hAnsi="Times New Roman" w:cs="Times New Roman"/>
          <w:sz w:val="24"/>
          <w:szCs w:val="24"/>
        </w:rPr>
        <w:t>from</w:t>
      </w:r>
      <w:r w:rsidR="002F65AE">
        <w:rPr>
          <w:rFonts w:ascii="Times New Roman" w:hAnsi="Times New Roman" w:cs="Times New Roman"/>
          <w:sz w:val="24"/>
          <w:szCs w:val="24"/>
        </w:rPr>
        <w:t xml:space="preserve"> </w:t>
      </w:r>
      <w:r w:rsidR="004B1647">
        <w:rPr>
          <w:rFonts w:ascii="Times New Roman" w:hAnsi="Times New Roman" w:cs="Times New Roman"/>
          <w:sz w:val="24"/>
          <w:szCs w:val="24"/>
        </w:rPr>
        <w:t xml:space="preserve">the </w:t>
      </w:r>
      <w:r w:rsidR="00681CC0">
        <w:rPr>
          <w:rFonts w:ascii="Times New Roman" w:hAnsi="Times New Roman" w:cs="Times New Roman"/>
          <w:sz w:val="24"/>
          <w:szCs w:val="24"/>
        </w:rPr>
        <w:t xml:space="preserve">transaction </w:t>
      </w:r>
      <w:r w:rsidR="009A406D">
        <w:rPr>
          <w:rFonts w:ascii="Times New Roman" w:hAnsi="Times New Roman" w:cs="Times New Roman"/>
          <w:sz w:val="24"/>
          <w:szCs w:val="24"/>
        </w:rPr>
        <w:t>cost</w:t>
      </w:r>
      <w:r w:rsidR="00954C3B">
        <w:rPr>
          <w:rFonts w:ascii="Times New Roman" w:hAnsi="Times New Roman" w:cs="Times New Roman"/>
          <w:sz w:val="24"/>
          <w:szCs w:val="24"/>
        </w:rPr>
        <w:t>s</w:t>
      </w:r>
      <w:r w:rsidR="00A724FC">
        <w:rPr>
          <w:rFonts w:ascii="Times New Roman" w:hAnsi="Times New Roman" w:cs="Times New Roman"/>
          <w:sz w:val="24"/>
          <w:szCs w:val="24"/>
        </w:rPr>
        <w:t xml:space="preserve"> </w:t>
      </w:r>
      <w:r w:rsidR="004B1647">
        <w:rPr>
          <w:rFonts w:ascii="Times New Roman" w:hAnsi="Times New Roman" w:cs="Times New Roman"/>
          <w:sz w:val="24"/>
          <w:szCs w:val="24"/>
        </w:rPr>
        <w:t>literature</w:t>
      </w:r>
      <w:r w:rsidR="0078307D">
        <w:rPr>
          <w:rFonts w:ascii="Times New Roman" w:hAnsi="Times New Roman" w:cs="Times New Roman"/>
          <w:sz w:val="24"/>
          <w:szCs w:val="24"/>
        </w:rPr>
        <w:t xml:space="preserve"> discussed in </w:t>
      </w:r>
      <w:r w:rsidR="00E90359">
        <w:rPr>
          <w:rFonts w:ascii="Times New Roman" w:hAnsi="Times New Roman" w:cs="Times New Roman"/>
          <w:sz w:val="24"/>
          <w:szCs w:val="24"/>
        </w:rPr>
        <w:t>S</w:t>
      </w:r>
      <w:r w:rsidR="0078307D">
        <w:rPr>
          <w:rFonts w:ascii="Times New Roman" w:hAnsi="Times New Roman" w:cs="Times New Roman"/>
          <w:sz w:val="24"/>
          <w:szCs w:val="24"/>
        </w:rPr>
        <w:t>ection 2</w:t>
      </w:r>
      <w:r w:rsidR="00671972">
        <w:rPr>
          <w:rFonts w:ascii="Times New Roman" w:hAnsi="Times New Roman" w:cs="Times New Roman"/>
          <w:sz w:val="24"/>
          <w:szCs w:val="24"/>
        </w:rPr>
        <w:t xml:space="preserve">, </w:t>
      </w:r>
      <w:r w:rsidR="00BF6752">
        <w:rPr>
          <w:rFonts w:ascii="Times New Roman" w:hAnsi="Times New Roman" w:cs="Times New Roman"/>
          <w:sz w:val="24"/>
          <w:szCs w:val="24"/>
        </w:rPr>
        <w:t>including</w:t>
      </w:r>
      <w:r w:rsidR="004C57D6">
        <w:rPr>
          <w:rFonts w:ascii="Times New Roman" w:hAnsi="Times New Roman" w:cs="Times New Roman"/>
          <w:sz w:val="24"/>
          <w:szCs w:val="24"/>
        </w:rPr>
        <w:t>:</w:t>
      </w:r>
      <w:r w:rsidR="00280B39">
        <w:rPr>
          <w:rFonts w:ascii="Times New Roman" w:hAnsi="Times New Roman" w:cs="Times New Roman"/>
          <w:sz w:val="24"/>
          <w:szCs w:val="24"/>
        </w:rPr>
        <w:t xml:space="preserve"> </w:t>
      </w:r>
    </w:p>
    <w:p w:rsidR="00280B39" w:rsidRPr="0044351E" w:rsidRDefault="004C57D6" w:rsidP="008D745F">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3D7DF8" w:rsidRPr="0044351E">
        <w:rPr>
          <w:rFonts w:ascii="Times New Roman" w:hAnsi="Times New Roman" w:cs="Times New Roman"/>
          <w:sz w:val="24"/>
          <w:szCs w:val="24"/>
        </w:rPr>
        <w:t xml:space="preserve">ow rates </w:t>
      </w:r>
      <w:r w:rsidR="00FE7B5E">
        <w:rPr>
          <w:rFonts w:ascii="Times New Roman" w:hAnsi="Times New Roman" w:cs="Times New Roman"/>
          <w:sz w:val="24"/>
          <w:szCs w:val="24"/>
        </w:rPr>
        <w:t xml:space="preserve">in the uptake of certain measures, usually </w:t>
      </w:r>
      <w:r w:rsidR="002F65AE">
        <w:rPr>
          <w:rFonts w:ascii="Times New Roman" w:hAnsi="Times New Roman" w:cs="Times New Roman"/>
          <w:sz w:val="24"/>
          <w:szCs w:val="24"/>
        </w:rPr>
        <w:t>aris</w:t>
      </w:r>
      <w:r w:rsidR="00B3791B">
        <w:rPr>
          <w:rFonts w:ascii="Times New Roman" w:hAnsi="Times New Roman" w:cs="Times New Roman"/>
          <w:sz w:val="24"/>
          <w:szCs w:val="24"/>
        </w:rPr>
        <w:t>ing</w:t>
      </w:r>
      <w:r w:rsidR="002F65AE">
        <w:rPr>
          <w:rFonts w:ascii="Times New Roman" w:hAnsi="Times New Roman" w:cs="Times New Roman"/>
          <w:sz w:val="24"/>
          <w:szCs w:val="24"/>
        </w:rPr>
        <w:t xml:space="preserve"> from lack of clarity in procedures, and administrative delays in launching calls and awarding contracts</w:t>
      </w:r>
      <w:r w:rsidR="00BF6752">
        <w:rPr>
          <w:rFonts w:ascii="Times New Roman" w:hAnsi="Times New Roman" w:cs="Times New Roman"/>
          <w:sz w:val="24"/>
          <w:szCs w:val="24"/>
        </w:rPr>
        <w:t>,</w:t>
      </w:r>
      <w:r w:rsidR="002F65AE">
        <w:rPr>
          <w:rFonts w:ascii="Times New Roman" w:hAnsi="Times New Roman" w:cs="Times New Roman"/>
          <w:sz w:val="24"/>
          <w:szCs w:val="24"/>
        </w:rPr>
        <w:t xml:space="preserve"> </w:t>
      </w:r>
      <w:r w:rsidR="002130FC">
        <w:rPr>
          <w:rFonts w:ascii="Times New Roman" w:hAnsi="Times New Roman" w:cs="Times New Roman"/>
          <w:sz w:val="24"/>
          <w:szCs w:val="24"/>
        </w:rPr>
        <w:t xml:space="preserve">which seems linked to </w:t>
      </w:r>
      <w:r w:rsidR="00884A14">
        <w:rPr>
          <w:rFonts w:ascii="Times New Roman" w:hAnsi="Times New Roman" w:cs="Times New Roman"/>
          <w:sz w:val="24"/>
          <w:szCs w:val="24"/>
        </w:rPr>
        <w:t>insufficient knowledge, understanding and information gaps</w:t>
      </w:r>
      <w:r w:rsidR="002130FC">
        <w:rPr>
          <w:rFonts w:ascii="Times New Roman" w:hAnsi="Times New Roman" w:cs="Times New Roman"/>
          <w:sz w:val="24"/>
          <w:szCs w:val="24"/>
        </w:rPr>
        <w:t xml:space="preserve"> within the public administration</w:t>
      </w:r>
      <w:r w:rsidR="002F65AE">
        <w:rPr>
          <w:rFonts w:ascii="Times New Roman" w:hAnsi="Times New Roman" w:cs="Times New Roman"/>
          <w:sz w:val="24"/>
          <w:szCs w:val="24"/>
        </w:rPr>
        <w:t xml:space="preserve"> </w:t>
      </w:r>
      <w:r w:rsidR="00280B39" w:rsidRPr="0044351E">
        <w:rPr>
          <w:rFonts w:ascii="Times New Roman" w:hAnsi="Times New Roman" w:cs="Times New Roman"/>
          <w:sz w:val="24"/>
          <w:szCs w:val="24"/>
        </w:rPr>
        <w:t xml:space="preserve"> (Schuh </w:t>
      </w:r>
      <w:r w:rsidR="00280B39" w:rsidRPr="00343722">
        <w:rPr>
          <w:rFonts w:ascii="Times New Roman" w:hAnsi="Times New Roman" w:cs="Times New Roman"/>
          <w:i/>
          <w:sz w:val="24"/>
          <w:szCs w:val="24"/>
        </w:rPr>
        <w:t>et al</w:t>
      </w:r>
      <w:r w:rsidR="00597338" w:rsidRPr="00343722">
        <w:rPr>
          <w:rFonts w:ascii="Times New Roman" w:hAnsi="Times New Roman" w:cs="Times New Roman"/>
          <w:i/>
          <w:sz w:val="24"/>
          <w:szCs w:val="24"/>
        </w:rPr>
        <w:t>.</w:t>
      </w:r>
      <w:r w:rsidR="00280B39" w:rsidRPr="00343722">
        <w:rPr>
          <w:rFonts w:ascii="Times New Roman" w:hAnsi="Times New Roman" w:cs="Times New Roman"/>
          <w:i/>
          <w:sz w:val="24"/>
          <w:szCs w:val="24"/>
        </w:rPr>
        <w:t>,</w:t>
      </w:r>
      <w:r w:rsidR="00280B39" w:rsidRPr="0044351E">
        <w:rPr>
          <w:rFonts w:ascii="Times New Roman" w:hAnsi="Times New Roman" w:cs="Times New Roman"/>
          <w:sz w:val="24"/>
          <w:szCs w:val="24"/>
        </w:rPr>
        <w:t xml:space="preserve"> 2012)</w:t>
      </w:r>
      <w:r>
        <w:rPr>
          <w:rFonts w:ascii="Times New Roman" w:hAnsi="Times New Roman" w:cs="Times New Roman"/>
          <w:sz w:val="24"/>
          <w:szCs w:val="24"/>
        </w:rPr>
        <w:t>;</w:t>
      </w:r>
    </w:p>
    <w:p w:rsidR="00280B39" w:rsidRPr="0044351E" w:rsidRDefault="003D7DF8" w:rsidP="008D745F">
      <w:pPr>
        <w:pStyle w:val="ListParagraph"/>
        <w:numPr>
          <w:ilvl w:val="0"/>
          <w:numId w:val="4"/>
        </w:numPr>
        <w:spacing w:after="0" w:line="360" w:lineRule="auto"/>
        <w:jc w:val="both"/>
        <w:rPr>
          <w:rFonts w:ascii="Times New Roman" w:hAnsi="Times New Roman" w:cs="Times New Roman"/>
          <w:sz w:val="24"/>
          <w:szCs w:val="24"/>
        </w:rPr>
      </w:pPr>
      <w:r w:rsidRPr="0044351E">
        <w:rPr>
          <w:rFonts w:ascii="Times New Roman" w:hAnsi="Times New Roman" w:cs="Times New Roman"/>
          <w:sz w:val="24"/>
          <w:szCs w:val="24"/>
        </w:rPr>
        <w:t>inefficie</w:t>
      </w:r>
      <w:r w:rsidR="00280B39" w:rsidRPr="0044351E">
        <w:rPr>
          <w:rFonts w:ascii="Times New Roman" w:hAnsi="Times New Roman" w:cs="Times New Roman"/>
          <w:sz w:val="24"/>
          <w:szCs w:val="24"/>
        </w:rPr>
        <w:t>ncies in delivery</w:t>
      </w:r>
      <w:r w:rsidR="002F65AE">
        <w:rPr>
          <w:rFonts w:ascii="Times New Roman" w:hAnsi="Times New Roman" w:cs="Times New Roman"/>
          <w:sz w:val="24"/>
          <w:szCs w:val="24"/>
        </w:rPr>
        <w:t xml:space="preserve">, </w:t>
      </w:r>
      <w:r w:rsidR="00884A14">
        <w:rPr>
          <w:rFonts w:ascii="Times New Roman" w:hAnsi="Times New Roman" w:cs="Times New Roman"/>
          <w:sz w:val="24"/>
          <w:szCs w:val="24"/>
        </w:rPr>
        <w:t>in application processes</w:t>
      </w:r>
      <w:r w:rsidR="002F65AE">
        <w:rPr>
          <w:rFonts w:ascii="Times New Roman" w:hAnsi="Times New Roman" w:cs="Times New Roman"/>
          <w:sz w:val="24"/>
          <w:szCs w:val="24"/>
        </w:rPr>
        <w:t xml:space="preserve"> and </w:t>
      </w:r>
      <w:r w:rsidR="00884A14">
        <w:rPr>
          <w:rFonts w:ascii="Times New Roman" w:hAnsi="Times New Roman" w:cs="Times New Roman"/>
          <w:sz w:val="24"/>
          <w:szCs w:val="24"/>
        </w:rPr>
        <w:t>the negotiation of</w:t>
      </w:r>
      <w:r w:rsidR="002F65AE">
        <w:rPr>
          <w:rFonts w:ascii="Times New Roman" w:hAnsi="Times New Roman" w:cs="Times New Roman"/>
          <w:sz w:val="24"/>
          <w:szCs w:val="24"/>
        </w:rPr>
        <w:t xml:space="preserve"> contracts</w:t>
      </w:r>
      <w:r w:rsidR="00204172">
        <w:rPr>
          <w:rFonts w:ascii="Times New Roman" w:hAnsi="Times New Roman" w:cs="Times New Roman"/>
          <w:sz w:val="24"/>
          <w:szCs w:val="24"/>
        </w:rPr>
        <w:t xml:space="preserve"> because of lengthy chains of command and/or significant requirements for accompanying paperwork to provide an audit trail</w:t>
      </w:r>
      <w:r w:rsidR="00280B39" w:rsidRPr="0044351E">
        <w:rPr>
          <w:rFonts w:ascii="Times New Roman" w:hAnsi="Times New Roman" w:cs="Times New Roman"/>
          <w:sz w:val="24"/>
          <w:szCs w:val="24"/>
        </w:rPr>
        <w:t xml:space="preserve"> (ENRD, 201</w:t>
      </w:r>
      <w:r w:rsidR="005173A5">
        <w:rPr>
          <w:rFonts w:ascii="Times New Roman" w:hAnsi="Times New Roman" w:cs="Times New Roman"/>
          <w:sz w:val="24"/>
          <w:szCs w:val="24"/>
        </w:rPr>
        <w:t>1</w:t>
      </w:r>
      <w:r w:rsidR="00280B39" w:rsidRPr="0044351E">
        <w:rPr>
          <w:rFonts w:ascii="Times New Roman" w:hAnsi="Times New Roman" w:cs="Times New Roman"/>
          <w:sz w:val="24"/>
          <w:szCs w:val="24"/>
        </w:rPr>
        <w:t>)</w:t>
      </w:r>
      <w:r w:rsidR="004C57D6">
        <w:rPr>
          <w:rFonts w:ascii="Times New Roman" w:hAnsi="Times New Roman" w:cs="Times New Roman"/>
          <w:sz w:val="24"/>
          <w:szCs w:val="24"/>
        </w:rPr>
        <w:t>;</w:t>
      </w:r>
    </w:p>
    <w:p w:rsidR="00280B39" w:rsidRPr="0044351E" w:rsidRDefault="00954C3B" w:rsidP="008D745F">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low levels of beneficiary interest</w:t>
      </w:r>
      <w:r w:rsidR="004C57D6">
        <w:rPr>
          <w:rFonts w:ascii="Times New Roman" w:hAnsi="Times New Roman" w:cs="Times New Roman"/>
          <w:sz w:val="24"/>
          <w:szCs w:val="24"/>
        </w:rPr>
        <w:t>,</w:t>
      </w:r>
      <w:r w:rsidR="003D7DF8" w:rsidRPr="0044351E">
        <w:rPr>
          <w:rFonts w:ascii="Times New Roman" w:hAnsi="Times New Roman" w:cs="Times New Roman"/>
          <w:sz w:val="24"/>
          <w:szCs w:val="24"/>
        </w:rPr>
        <w:t xml:space="preserve"> particularly in </w:t>
      </w:r>
      <w:r w:rsidR="002F65AE">
        <w:rPr>
          <w:rFonts w:ascii="Times New Roman" w:hAnsi="Times New Roman" w:cs="Times New Roman"/>
          <w:sz w:val="24"/>
          <w:szCs w:val="24"/>
        </w:rPr>
        <w:t xml:space="preserve">new member </w:t>
      </w:r>
      <w:r w:rsidR="003D7DF8" w:rsidRPr="0044351E">
        <w:rPr>
          <w:rFonts w:ascii="Times New Roman" w:hAnsi="Times New Roman" w:cs="Times New Roman"/>
          <w:sz w:val="24"/>
          <w:szCs w:val="24"/>
        </w:rPr>
        <w:t xml:space="preserve">countries and </w:t>
      </w:r>
      <w:r w:rsidR="002F65AE">
        <w:rPr>
          <w:rFonts w:ascii="Times New Roman" w:hAnsi="Times New Roman" w:cs="Times New Roman"/>
          <w:sz w:val="24"/>
          <w:szCs w:val="24"/>
        </w:rPr>
        <w:t xml:space="preserve">especially </w:t>
      </w:r>
      <w:r w:rsidR="00B3791B">
        <w:rPr>
          <w:rFonts w:ascii="Times New Roman" w:hAnsi="Times New Roman" w:cs="Times New Roman"/>
          <w:sz w:val="24"/>
          <w:szCs w:val="24"/>
        </w:rPr>
        <w:t xml:space="preserve">in relation to </w:t>
      </w:r>
      <w:r w:rsidR="003D7DF8" w:rsidRPr="0044351E">
        <w:rPr>
          <w:rFonts w:ascii="Times New Roman" w:hAnsi="Times New Roman" w:cs="Times New Roman"/>
          <w:sz w:val="24"/>
          <w:szCs w:val="24"/>
        </w:rPr>
        <w:t>complex act</w:t>
      </w:r>
      <w:r w:rsidR="00280B39" w:rsidRPr="0044351E">
        <w:rPr>
          <w:rFonts w:ascii="Times New Roman" w:hAnsi="Times New Roman" w:cs="Times New Roman"/>
          <w:sz w:val="24"/>
          <w:szCs w:val="24"/>
        </w:rPr>
        <w:t>ions and measures</w:t>
      </w:r>
      <w:r w:rsidR="00204172">
        <w:rPr>
          <w:rFonts w:ascii="Times New Roman" w:hAnsi="Times New Roman" w:cs="Times New Roman"/>
          <w:sz w:val="24"/>
          <w:szCs w:val="24"/>
        </w:rPr>
        <w:t xml:space="preserve">, as potential beneficiaries and/or </w:t>
      </w:r>
      <w:r>
        <w:rPr>
          <w:rFonts w:ascii="Times New Roman" w:hAnsi="Times New Roman" w:cs="Times New Roman"/>
          <w:sz w:val="24"/>
          <w:szCs w:val="24"/>
        </w:rPr>
        <w:t>suppor</w:t>
      </w:r>
      <w:r w:rsidR="00204172">
        <w:rPr>
          <w:rFonts w:ascii="Times New Roman" w:hAnsi="Times New Roman" w:cs="Times New Roman"/>
          <w:sz w:val="24"/>
          <w:szCs w:val="24"/>
        </w:rPr>
        <w:t>ting agen</w:t>
      </w:r>
      <w:r>
        <w:rPr>
          <w:rFonts w:ascii="Times New Roman" w:hAnsi="Times New Roman" w:cs="Times New Roman"/>
          <w:sz w:val="24"/>
          <w:szCs w:val="24"/>
        </w:rPr>
        <w:t>t</w:t>
      </w:r>
      <w:r w:rsidR="00204172">
        <w:rPr>
          <w:rFonts w:ascii="Times New Roman" w:hAnsi="Times New Roman" w:cs="Times New Roman"/>
          <w:sz w:val="24"/>
          <w:szCs w:val="24"/>
        </w:rPr>
        <w:t xml:space="preserve">s are put off by </w:t>
      </w:r>
      <w:r w:rsidR="00884A14">
        <w:rPr>
          <w:rFonts w:ascii="Times New Roman" w:hAnsi="Times New Roman" w:cs="Times New Roman"/>
          <w:sz w:val="24"/>
          <w:szCs w:val="24"/>
        </w:rPr>
        <w:t>what they perceive as costly</w:t>
      </w:r>
      <w:r w:rsidR="00204172">
        <w:rPr>
          <w:rFonts w:ascii="Times New Roman" w:hAnsi="Times New Roman" w:cs="Times New Roman"/>
          <w:sz w:val="24"/>
          <w:szCs w:val="24"/>
        </w:rPr>
        <w:t xml:space="preserve"> application, </w:t>
      </w:r>
      <w:r w:rsidR="00884A14">
        <w:rPr>
          <w:rFonts w:ascii="Times New Roman" w:hAnsi="Times New Roman" w:cs="Times New Roman"/>
          <w:sz w:val="24"/>
          <w:szCs w:val="24"/>
        </w:rPr>
        <w:t>negotiation</w:t>
      </w:r>
      <w:r w:rsidR="00204172">
        <w:rPr>
          <w:rFonts w:ascii="Times New Roman" w:hAnsi="Times New Roman" w:cs="Times New Roman"/>
          <w:sz w:val="24"/>
          <w:szCs w:val="24"/>
        </w:rPr>
        <w:t xml:space="preserve"> or </w:t>
      </w:r>
      <w:r w:rsidR="00884A14">
        <w:rPr>
          <w:rFonts w:ascii="Times New Roman" w:hAnsi="Times New Roman" w:cs="Times New Roman"/>
          <w:sz w:val="24"/>
          <w:szCs w:val="24"/>
        </w:rPr>
        <w:t>management</w:t>
      </w:r>
      <w:r w:rsidR="00204172">
        <w:rPr>
          <w:rFonts w:ascii="Times New Roman" w:hAnsi="Times New Roman" w:cs="Times New Roman"/>
          <w:sz w:val="24"/>
          <w:szCs w:val="24"/>
        </w:rPr>
        <w:t xml:space="preserve"> processes </w:t>
      </w:r>
      <w:r w:rsidR="00280B39" w:rsidRPr="0044351E">
        <w:rPr>
          <w:rFonts w:ascii="Times New Roman" w:hAnsi="Times New Roman" w:cs="Times New Roman"/>
          <w:sz w:val="24"/>
          <w:szCs w:val="24"/>
        </w:rPr>
        <w:t xml:space="preserve"> (</w:t>
      </w:r>
      <w:r w:rsidR="002F65AE">
        <w:rPr>
          <w:rFonts w:ascii="Times New Roman" w:hAnsi="Times New Roman" w:cs="Times New Roman"/>
          <w:sz w:val="24"/>
          <w:szCs w:val="24"/>
        </w:rPr>
        <w:t xml:space="preserve">e.g. </w:t>
      </w:r>
      <w:r w:rsidR="000169F3">
        <w:rPr>
          <w:rFonts w:ascii="Times New Roman" w:hAnsi="Times New Roman" w:cs="Times New Roman"/>
          <w:sz w:val="24"/>
          <w:szCs w:val="24"/>
        </w:rPr>
        <w:t>AES</w:t>
      </w:r>
      <w:r w:rsidR="00B3791B">
        <w:rPr>
          <w:rFonts w:ascii="Times New Roman" w:hAnsi="Times New Roman" w:cs="Times New Roman"/>
          <w:sz w:val="24"/>
          <w:szCs w:val="24"/>
        </w:rPr>
        <w:t>s, L</w:t>
      </w:r>
      <w:r w:rsidR="00671972">
        <w:rPr>
          <w:rFonts w:ascii="Times New Roman" w:hAnsi="Times New Roman" w:cs="Times New Roman"/>
          <w:sz w:val="24"/>
          <w:szCs w:val="24"/>
        </w:rPr>
        <w:t>eader</w:t>
      </w:r>
      <w:r w:rsidR="00597338">
        <w:rPr>
          <w:rFonts w:ascii="Times New Roman" w:hAnsi="Times New Roman" w:cs="Times New Roman"/>
          <w:sz w:val="24"/>
          <w:szCs w:val="24"/>
        </w:rPr>
        <w:t xml:space="preserve"> (</w:t>
      </w:r>
      <w:r w:rsidR="00280B39" w:rsidRPr="0044351E">
        <w:rPr>
          <w:rFonts w:ascii="Times New Roman" w:hAnsi="Times New Roman" w:cs="Times New Roman"/>
          <w:sz w:val="24"/>
          <w:szCs w:val="24"/>
        </w:rPr>
        <w:t>RuDI, 2010</w:t>
      </w:r>
      <w:r w:rsidR="003224D9">
        <w:rPr>
          <w:rFonts w:ascii="Times New Roman" w:hAnsi="Times New Roman" w:cs="Times New Roman"/>
          <w:sz w:val="24"/>
          <w:szCs w:val="24"/>
        </w:rPr>
        <w:t>)</w:t>
      </w:r>
      <w:r w:rsidR="00280B39" w:rsidRPr="0044351E">
        <w:rPr>
          <w:rFonts w:ascii="Times New Roman" w:hAnsi="Times New Roman" w:cs="Times New Roman"/>
          <w:sz w:val="24"/>
          <w:szCs w:val="24"/>
        </w:rPr>
        <w:t>)</w:t>
      </w:r>
      <w:r w:rsidR="004C57D6">
        <w:rPr>
          <w:rFonts w:ascii="Times New Roman" w:hAnsi="Times New Roman" w:cs="Times New Roman"/>
          <w:sz w:val="24"/>
          <w:szCs w:val="24"/>
        </w:rPr>
        <w:t>;</w:t>
      </w:r>
    </w:p>
    <w:p w:rsidR="00280B39" w:rsidRPr="0044351E" w:rsidRDefault="003D7DF8" w:rsidP="000169F3">
      <w:pPr>
        <w:pStyle w:val="ListParagraph"/>
        <w:numPr>
          <w:ilvl w:val="0"/>
          <w:numId w:val="4"/>
        </w:numPr>
        <w:spacing w:after="0" w:line="360" w:lineRule="auto"/>
        <w:jc w:val="both"/>
        <w:rPr>
          <w:rFonts w:ascii="Times New Roman" w:hAnsi="Times New Roman" w:cs="Times New Roman"/>
          <w:sz w:val="24"/>
          <w:szCs w:val="24"/>
        </w:rPr>
      </w:pPr>
      <w:r w:rsidRPr="0044351E">
        <w:rPr>
          <w:rFonts w:ascii="Times New Roman" w:hAnsi="Times New Roman" w:cs="Times New Roman"/>
          <w:sz w:val="24"/>
          <w:szCs w:val="24"/>
        </w:rPr>
        <w:t xml:space="preserve">high levels of deadweight </w:t>
      </w:r>
      <w:r w:rsidR="00884A14">
        <w:rPr>
          <w:rFonts w:ascii="Times New Roman" w:hAnsi="Times New Roman" w:cs="Times New Roman"/>
          <w:sz w:val="24"/>
          <w:szCs w:val="24"/>
        </w:rPr>
        <w:t>for</w:t>
      </w:r>
      <w:r w:rsidRPr="0044351E">
        <w:rPr>
          <w:rFonts w:ascii="Times New Roman" w:hAnsi="Times New Roman" w:cs="Times New Roman"/>
          <w:sz w:val="24"/>
          <w:szCs w:val="24"/>
        </w:rPr>
        <w:t xml:space="preserve"> some of the largest-spending </w:t>
      </w:r>
      <w:r w:rsidR="004C57D6">
        <w:rPr>
          <w:rFonts w:ascii="Times New Roman" w:hAnsi="Times New Roman" w:cs="Times New Roman"/>
          <w:sz w:val="24"/>
          <w:szCs w:val="24"/>
        </w:rPr>
        <w:t>measure</w:t>
      </w:r>
      <w:r w:rsidRPr="0044351E">
        <w:rPr>
          <w:rFonts w:ascii="Times New Roman" w:hAnsi="Times New Roman" w:cs="Times New Roman"/>
          <w:sz w:val="24"/>
          <w:szCs w:val="24"/>
        </w:rPr>
        <w:t>s in</w:t>
      </w:r>
      <w:r w:rsidR="000169F3">
        <w:rPr>
          <w:rFonts w:ascii="Times New Roman" w:hAnsi="Times New Roman" w:cs="Times New Roman"/>
          <w:sz w:val="24"/>
          <w:szCs w:val="24"/>
        </w:rPr>
        <w:t xml:space="preserve"> RDPs</w:t>
      </w:r>
      <w:r w:rsidR="002F65AE">
        <w:rPr>
          <w:rFonts w:ascii="Times New Roman" w:hAnsi="Times New Roman" w:cs="Times New Roman"/>
          <w:sz w:val="24"/>
          <w:szCs w:val="24"/>
        </w:rPr>
        <w:t xml:space="preserve">, where </w:t>
      </w:r>
      <w:r w:rsidR="003F7647">
        <w:rPr>
          <w:rFonts w:ascii="Times New Roman" w:hAnsi="Times New Roman" w:cs="Times New Roman"/>
          <w:sz w:val="24"/>
          <w:szCs w:val="24"/>
        </w:rPr>
        <w:t>the projects</w:t>
      </w:r>
      <w:r w:rsidR="00BF6752">
        <w:rPr>
          <w:rFonts w:ascii="Times New Roman" w:hAnsi="Times New Roman" w:cs="Times New Roman"/>
          <w:sz w:val="24"/>
          <w:szCs w:val="24"/>
        </w:rPr>
        <w:t xml:space="preserve"> </w:t>
      </w:r>
      <w:r w:rsidR="002F65AE">
        <w:rPr>
          <w:rFonts w:ascii="Times New Roman" w:hAnsi="Times New Roman" w:cs="Times New Roman"/>
          <w:sz w:val="24"/>
          <w:szCs w:val="24"/>
        </w:rPr>
        <w:t xml:space="preserve">most </w:t>
      </w:r>
      <w:r w:rsidR="00954C3B">
        <w:rPr>
          <w:rFonts w:ascii="Times New Roman" w:hAnsi="Times New Roman" w:cs="Times New Roman"/>
          <w:sz w:val="24"/>
          <w:szCs w:val="24"/>
        </w:rPr>
        <w:t>likely</w:t>
      </w:r>
      <w:r w:rsidR="002F65AE">
        <w:rPr>
          <w:rFonts w:ascii="Times New Roman" w:hAnsi="Times New Roman" w:cs="Times New Roman"/>
          <w:sz w:val="24"/>
          <w:szCs w:val="24"/>
        </w:rPr>
        <w:t xml:space="preserve"> to secure funding </w:t>
      </w:r>
      <w:r w:rsidR="00884A14">
        <w:rPr>
          <w:rFonts w:ascii="Times New Roman" w:hAnsi="Times New Roman" w:cs="Times New Roman"/>
          <w:sz w:val="24"/>
          <w:szCs w:val="24"/>
        </w:rPr>
        <w:t>are projects offering</w:t>
      </w:r>
      <w:r w:rsidR="000169F3">
        <w:rPr>
          <w:rFonts w:ascii="Times New Roman" w:hAnsi="Times New Roman" w:cs="Times New Roman"/>
          <w:sz w:val="24"/>
          <w:szCs w:val="24"/>
        </w:rPr>
        <w:t xml:space="preserve"> </w:t>
      </w:r>
      <w:r w:rsidR="002F65AE">
        <w:rPr>
          <w:rFonts w:ascii="Times New Roman" w:hAnsi="Times New Roman" w:cs="Times New Roman"/>
          <w:sz w:val="24"/>
          <w:szCs w:val="24"/>
        </w:rPr>
        <w:t>low additionality</w:t>
      </w:r>
      <w:r w:rsidR="00204172">
        <w:rPr>
          <w:rFonts w:ascii="Times New Roman" w:hAnsi="Times New Roman" w:cs="Times New Roman"/>
          <w:sz w:val="24"/>
          <w:szCs w:val="24"/>
        </w:rPr>
        <w:t xml:space="preserve">, </w:t>
      </w:r>
      <w:r w:rsidR="00954C3B">
        <w:rPr>
          <w:rFonts w:ascii="Times New Roman" w:hAnsi="Times New Roman" w:cs="Times New Roman"/>
          <w:sz w:val="24"/>
          <w:szCs w:val="24"/>
        </w:rPr>
        <w:t>but greater ease of</w:t>
      </w:r>
      <w:r w:rsidR="00204172">
        <w:rPr>
          <w:rFonts w:ascii="Times New Roman" w:hAnsi="Times New Roman" w:cs="Times New Roman"/>
          <w:sz w:val="24"/>
          <w:szCs w:val="24"/>
        </w:rPr>
        <w:t xml:space="preserve"> administr</w:t>
      </w:r>
      <w:r w:rsidR="00954C3B">
        <w:rPr>
          <w:rFonts w:ascii="Times New Roman" w:hAnsi="Times New Roman" w:cs="Times New Roman"/>
          <w:sz w:val="24"/>
          <w:szCs w:val="24"/>
        </w:rPr>
        <w:t>ation</w:t>
      </w:r>
      <w:r w:rsidR="00884A14">
        <w:rPr>
          <w:rFonts w:ascii="Times New Roman" w:hAnsi="Times New Roman" w:cs="Times New Roman"/>
          <w:sz w:val="24"/>
          <w:szCs w:val="24"/>
        </w:rPr>
        <w:t>. In these cases, it is suggested that public agencies seek to minimize their immediate transaction costs and in so doing, significantly reduce the added-value of the programme</w:t>
      </w:r>
      <w:r w:rsidR="000169F3">
        <w:rPr>
          <w:rFonts w:ascii="Times New Roman" w:hAnsi="Times New Roman" w:cs="Times New Roman"/>
          <w:sz w:val="24"/>
          <w:szCs w:val="24"/>
        </w:rPr>
        <w:t xml:space="preserve"> </w:t>
      </w:r>
      <w:r w:rsidR="000169F3" w:rsidRPr="000169F3">
        <w:rPr>
          <w:rFonts w:ascii="Times New Roman" w:hAnsi="Times New Roman" w:cs="Times New Roman"/>
          <w:sz w:val="24"/>
          <w:szCs w:val="24"/>
        </w:rPr>
        <w:t>(</w:t>
      </w:r>
      <w:r w:rsidR="00542ECB">
        <w:rPr>
          <w:rFonts w:ascii="Times New Roman" w:hAnsi="Times New Roman" w:cs="Times New Roman"/>
          <w:sz w:val="24"/>
          <w:szCs w:val="24"/>
        </w:rPr>
        <w:t xml:space="preserve">e.g. </w:t>
      </w:r>
      <w:r w:rsidR="000169F3" w:rsidRPr="000169F3">
        <w:rPr>
          <w:rFonts w:ascii="Times New Roman" w:hAnsi="Times New Roman" w:cs="Times New Roman"/>
          <w:sz w:val="24"/>
          <w:szCs w:val="24"/>
        </w:rPr>
        <w:t>Erjavec, 2012)</w:t>
      </w:r>
      <w:r w:rsidR="004C57D6">
        <w:rPr>
          <w:rFonts w:ascii="Times New Roman" w:hAnsi="Times New Roman" w:cs="Times New Roman"/>
          <w:sz w:val="24"/>
          <w:szCs w:val="24"/>
        </w:rPr>
        <w:t>;</w:t>
      </w:r>
    </w:p>
    <w:p w:rsidR="0044351E" w:rsidRDefault="003D7DF8" w:rsidP="008D745F">
      <w:pPr>
        <w:pStyle w:val="ListParagraph"/>
        <w:numPr>
          <w:ilvl w:val="0"/>
          <w:numId w:val="4"/>
        </w:numPr>
        <w:spacing w:after="0" w:line="360" w:lineRule="auto"/>
        <w:jc w:val="both"/>
        <w:rPr>
          <w:rFonts w:ascii="Times New Roman" w:hAnsi="Times New Roman" w:cs="Times New Roman"/>
          <w:sz w:val="24"/>
          <w:szCs w:val="24"/>
        </w:rPr>
      </w:pPr>
      <w:r w:rsidRPr="0044351E">
        <w:rPr>
          <w:rFonts w:ascii="Times New Roman" w:hAnsi="Times New Roman" w:cs="Times New Roman"/>
          <w:sz w:val="24"/>
          <w:szCs w:val="24"/>
        </w:rPr>
        <w:t xml:space="preserve">insufficient targeting </w:t>
      </w:r>
      <w:r w:rsidR="00884A14">
        <w:rPr>
          <w:rFonts w:ascii="Times New Roman" w:hAnsi="Times New Roman" w:cs="Times New Roman"/>
          <w:sz w:val="24"/>
          <w:szCs w:val="24"/>
        </w:rPr>
        <w:t xml:space="preserve">due to a lack of </w:t>
      </w:r>
      <w:r w:rsidR="00DB70C9">
        <w:rPr>
          <w:rFonts w:ascii="Times New Roman" w:hAnsi="Times New Roman" w:cs="Times New Roman"/>
          <w:sz w:val="24"/>
          <w:szCs w:val="24"/>
        </w:rPr>
        <w:t>understanding of</w:t>
      </w:r>
      <w:r w:rsidRPr="0044351E">
        <w:rPr>
          <w:rFonts w:ascii="Times New Roman" w:hAnsi="Times New Roman" w:cs="Times New Roman"/>
          <w:sz w:val="24"/>
          <w:szCs w:val="24"/>
        </w:rPr>
        <w:t xml:space="preserve"> local </w:t>
      </w:r>
      <w:r w:rsidR="00DB70C9">
        <w:rPr>
          <w:rFonts w:ascii="Times New Roman" w:hAnsi="Times New Roman" w:cs="Times New Roman"/>
          <w:sz w:val="24"/>
          <w:szCs w:val="24"/>
        </w:rPr>
        <w:t>context</w:t>
      </w:r>
      <w:r w:rsidRPr="0044351E">
        <w:rPr>
          <w:rFonts w:ascii="Times New Roman" w:hAnsi="Times New Roman" w:cs="Times New Roman"/>
          <w:sz w:val="24"/>
          <w:szCs w:val="24"/>
        </w:rPr>
        <w:t xml:space="preserve"> – for instance, </w:t>
      </w:r>
      <w:r w:rsidR="00204172">
        <w:rPr>
          <w:rFonts w:ascii="Times New Roman" w:hAnsi="Times New Roman" w:cs="Times New Roman"/>
          <w:sz w:val="24"/>
          <w:szCs w:val="24"/>
        </w:rPr>
        <w:t xml:space="preserve">in </w:t>
      </w:r>
      <w:r w:rsidR="00DB70C9">
        <w:rPr>
          <w:rFonts w:ascii="Times New Roman" w:hAnsi="Times New Roman" w:cs="Times New Roman"/>
          <w:sz w:val="24"/>
          <w:szCs w:val="24"/>
        </w:rPr>
        <w:t>territorie</w:t>
      </w:r>
      <w:r w:rsidR="00204172">
        <w:rPr>
          <w:rFonts w:ascii="Times New Roman" w:hAnsi="Times New Roman" w:cs="Times New Roman"/>
          <w:sz w:val="24"/>
          <w:szCs w:val="24"/>
        </w:rPr>
        <w:t>s characterized by multiple</w:t>
      </w:r>
      <w:r w:rsidRPr="0044351E">
        <w:rPr>
          <w:rFonts w:ascii="Times New Roman" w:hAnsi="Times New Roman" w:cs="Times New Roman"/>
          <w:sz w:val="24"/>
          <w:szCs w:val="24"/>
        </w:rPr>
        <w:t xml:space="preserve"> small and semi-subsistenc</w:t>
      </w:r>
      <w:r w:rsidR="0044351E" w:rsidRPr="0044351E">
        <w:rPr>
          <w:rFonts w:ascii="Times New Roman" w:hAnsi="Times New Roman" w:cs="Times New Roman"/>
          <w:sz w:val="24"/>
          <w:szCs w:val="24"/>
        </w:rPr>
        <w:t>e farms</w:t>
      </w:r>
      <w:r w:rsidR="00AC6E08">
        <w:rPr>
          <w:rFonts w:ascii="Times New Roman" w:hAnsi="Times New Roman" w:cs="Times New Roman"/>
          <w:sz w:val="24"/>
          <w:szCs w:val="24"/>
        </w:rPr>
        <w:t xml:space="preserve">, where </w:t>
      </w:r>
      <w:r w:rsidR="00954C3B">
        <w:rPr>
          <w:rFonts w:ascii="Times New Roman" w:hAnsi="Times New Roman" w:cs="Times New Roman"/>
          <w:sz w:val="24"/>
          <w:szCs w:val="24"/>
        </w:rPr>
        <w:t xml:space="preserve">the </w:t>
      </w:r>
      <w:r w:rsidR="00DB70C9">
        <w:rPr>
          <w:rFonts w:ascii="Times New Roman" w:hAnsi="Times New Roman" w:cs="Times New Roman"/>
          <w:sz w:val="24"/>
          <w:szCs w:val="24"/>
        </w:rPr>
        <w:t>relative</w:t>
      </w:r>
      <w:r w:rsidR="00AC6E08">
        <w:rPr>
          <w:rFonts w:ascii="Times New Roman" w:hAnsi="Times New Roman" w:cs="Times New Roman"/>
          <w:sz w:val="24"/>
          <w:szCs w:val="24"/>
        </w:rPr>
        <w:t xml:space="preserve"> </w:t>
      </w:r>
      <w:r w:rsidR="00C95892">
        <w:rPr>
          <w:rFonts w:ascii="Times New Roman" w:hAnsi="Times New Roman" w:cs="Times New Roman"/>
          <w:sz w:val="24"/>
          <w:szCs w:val="24"/>
        </w:rPr>
        <w:t>incentive</w:t>
      </w:r>
      <w:r w:rsidR="00AC6E08">
        <w:rPr>
          <w:rFonts w:ascii="Times New Roman" w:hAnsi="Times New Roman" w:cs="Times New Roman"/>
          <w:sz w:val="24"/>
          <w:szCs w:val="24"/>
        </w:rPr>
        <w:t xml:space="preserve"> to engage with funding </w:t>
      </w:r>
      <w:r w:rsidR="00954C3B">
        <w:rPr>
          <w:rFonts w:ascii="Times New Roman" w:hAnsi="Times New Roman" w:cs="Times New Roman"/>
          <w:sz w:val="24"/>
          <w:szCs w:val="24"/>
        </w:rPr>
        <w:t>is</w:t>
      </w:r>
      <w:r w:rsidR="00654D6F">
        <w:rPr>
          <w:rFonts w:ascii="Times New Roman" w:hAnsi="Times New Roman" w:cs="Times New Roman"/>
          <w:sz w:val="24"/>
          <w:szCs w:val="24"/>
        </w:rPr>
        <w:t xml:space="preserve"> </w:t>
      </w:r>
      <w:r w:rsidR="00AC6E08">
        <w:rPr>
          <w:rFonts w:ascii="Times New Roman" w:hAnsi="Times New Roman" w:cs="Times New Roman"/>
          <w:sz w:val="24"/>
          <w:szCs w:val="24"/>
        </w:rPr>
        <w:t>limited by</w:t>
      </w:r>
      <w:r w:rsidR="00C95892">
        <w:rPr>
          <w:rFonts w:ascii="Times New Roman" w:hAnsi="Times New Roman" w:cs="Times New Roman"/>
          <w:sz w:val="24"/>
          <w:szCs w:val="24"/>
        </w:rPr>
        <w:t xml:space="preserve"> scale,</w:t>
      </w:r>
      <w:r w:rsidR="00AC6E08">
        <w:rPr>
          <w:rFonts w:ascii="Times New Roman" w:hAnsi="Times New Roman" w:cs="Times New Roman"/>
          <w:sz w:val="24"/>
          <w:szCs w:val="24"/>
        </w:rPr>
        <w:t xml:space="preserve"> </w:t>
      </w:r>
      <w:r w:rsidR="00954C3B">
        <w:rPr>
          <w:rFonts w:ascii="Times New Roman" w:hAnsi="Times New Roman" w:cs="Times New Roman"/>
          <w:sz w:val="24"/>
          <w:szCs w:val="24"/>
        </w:rPr>
        <w:t>bu</w:t>
      </w:r>
      <w:r w:rsidR="00C95892">
        <w:rPr>
          <w:rFonts w:ascii="Times New Roman" w:hAnsi="Times New Roman" w:cs="Times New Roman"/>
          <w:sz w:val="24"/>
          <w:szCs w:val="24"/>
        </w:rPr>
        <w:t xml:space="preserve">t </w:t>
      </w:r>
      <w:r w:rsidR="00AC6E08">
        <w:rPr>
          <w:rFonts w:ascii="Times New Roman" w:hAnsi="Times New Roman" w:cs="Times New Roman"/>
          <w:sz w:val="24"/>
          <w:szCs w:val="24"/>
        </w:rPr>
        <w:t xml:space="preserve">the cost of </w:t>
      </w:r>
      <w:r w:rsidR="00C95892">
        <w:rPr>
          <w:rFonts w:ascii="Times New Roman" w:hAnsi="Times New Roman" w:cs="Times New Roman"/>
          <w:sz w:val="24"/>
          <w:szCs w:val="24"/>
        </w:rPr>
        <w:t>preparing and submitting applications is relatively high</w:t>
      </w:r>
      <w:r w:rsidR="0044351E" w:rsidRPr="0044351E">
        <w:rPr>
          <w:rFonts w:ascii="Times New Roman" w:hAnsi="Times New Roman" w:cs="Times New Roman"/>
          <w:sz w:val="24"/>
          <w:szCs w:val="24"/>
        </w:rPr>
        <w:t xml:space="preserve"> (Davidova </w:t>
      </w:r>
      <w:r w:rsidR="0044351E" w:rsidRPr="00343722">
        <w:rPr>
          <w:rFonts w:ascii="Times New Roman" w:hAnsi="Times New Roman" w:cs="Times New Roman"/>
          <w:i/>
          <w:sz w:val="24"/>
          <w:szCs w:val="24"/>
        </w:rPr>
        <w:t>et al</w:t>
      </w:r>
      <w:r w:rsidR="0009291A" w:rsidRPr="00343722">
        <w:rPr>
          <w:rFonts w:ascii="Times New Roman" w:hAnsi="Times New Roman" w:cs="Times New Roman"/>
          <w:i/>
          <w:sz w:val="24"/>
          <w:szCs w:val="24"/>
        </w:rPr>
        <w:t>.</w:t>
      </w:r>
      <w:r w:rsidR="0044351E" w:rsidRPr="00343722">
        <w:rPr>
          <w:rFonts w:ascii="Times New Roman" w:hAnsi="Times New Roman" w:cs="Times New Roman"/>
          <w:i/>
          <w:sz w:val="24"/>
          <w:szCs w:val="24"/>
        </w:rPr>
        <w:t>,</w:t>
      </w:r>
      <w:r w:rsidR="0044351E" w:rsidRPr="0044351E">
        <w:rPr>
          <w:rFonts w:ascii="Times New Roman" w:hAnsi="Times New Roman" w:cs="Times New Roman"/>
          <w:sz w:val="24"/>
          <w:szCs w:val="24"/>
        </w:rPr>
        <w:t xml:space="preserve"> 2013)</w:t>
      </w:r>
      <w:r w:rsidR="00654D6F">
        <w:rPr>
          <w:rFonts w:ascii="Times New Roman" w:hAnsi="Times New Roman" w:cs="Times New Roman"/>
          <w:sz w:val="24"/>
          <w:szCs w:val="24"/>
        </w:rPr>
        <w:t>.</w:t>
      </w:r>
    </w:p>
    <w:p w:rsidR="00323B4D" w:rsidRPr="0044351E" w:rsidRDefault="00323B4D" w:rsidP="008D745F">
      <w:pPr>
        <w:pStyle w:val="ListParagraph"/>
        <w:spacing w:after="0" w:line="360" w:lineRule="auto"/>
        <w:jc w:val="both"/>
        <w:rPr>
          <w:rFonts w:ascii="Times New Roman" w:hAnsi="Times New Roman" w:cs="Times New Roman"/>
          <w:sz w:val="24"/>
          <w:szCs w:val="24"/>
        </w:rPr>
      </w:pPr>
    </w:p>
    <w:p w:rsidR="0066755B" w:rsidRDefault="00BC4F5B" w:rsidP="008D74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points suggest that an analysis of RDP </w:t>
      </w:r>
      <w:r w:rsidR="00BF6752">
        <w:rPr>
          <w:rFonts w:ascii="Times New Roman" w:hAnsi="Times New Roman" w:cs="Times New Roman"/>
          <w:sz w:val="24"/>
          <w:szCs w:val="24"/>
        </w:rPr>
        <w:t xml:space="preserve">processes </w:t>
      </w:r>
      <w:r>
        <w:rPr>
          <w:rFonts w:ascii="Times New Roman" w:hAnsi="Times New Roman" w:cs="Times New Roman"/>
          <w:sz w:val="24"/>
          <w:szCs w:val="24"/>
        </w:rPr>
        <w:t xml:space="preserve">from a perspective which considers the </w:t>
      </w:r>
      <w:r w:rsidR="003F7647">
        <w:rPr>
          <w:rFonts w:ascii="Times New Roman" w:hAnsi="Times New Roman" w:cs="Times New Roman"/>
          <w:sz w:val="24"/>
          <w:szCs w:val="24"/>
        </w:rPr>
        <w:t>nature of</w:t>
      </w:r>
      <w:r w:rsidR="00BF6752">
        <w:rPr>
          <w:rFonts w:ascii="Times New Roman" w:hAnsi="Times New Roman" w:cs="Times New Roman"/>
          <w:sz w:val="24"/>
          <w:szCs w:val="24"/>
        </w:rPr>
        <w:t xml:space="preserve"> </w:t>
      </w:r>
      <w:r>
        <w:rPr>
          <w:rFonts w:ascii="Times New Roman" w:hAnsi="Times New Roman" w:cs="Times New Roman"/>
          <w:sz w:val="24"/>
          <w:szCs w:val="24"/>
        </w:rPr>
        <w:t>transactions</w:t>
      </w:r>
      <w:r w:rsidR="003F7647">
        <w:rPr>
          <w:rFonts w:ascii="Times New Roman" w:hAnsi="Times New Roman" w:cs="Times New Roman"/>
          <w:sz w:val="24"/>
          <w:szCs w:val="24"/>
        </w:rPr>
        <w:t xml:space="preserve"> </w:t>
      </w:r>
      <w:r>
        <w:rPr>
          <w:rFonts w:ascii="Times New Roman" w:hAnsi="Times New Roman" w:cs="Times New Roman"/>
          <w:sz w:val="24"/>
          <w:szCs w:val="24"/>
        </w:rPr>
        <w:t xml:space="preserve">and the </w:t>
      </w:r>
      <w:r w:rsidR="00BF6752">
        <w:rPr>
          <w:rFonts w:ascii="Times New Roman" w:hAnsi="Times New Roman" w:cs="Times New Roman"/>
          <w:sz w:val="24"/>
          <w:szCs w:val="24"/>
        </w:rPr>
        <w:t xml:space="preserve">resulting </w:t>
      </w:r>
      <w:r>
        <w:rPr>
          <w:rFonts w:ascii="Times New Roman" w:hAnsi="Times New Roman" w:cs="Times New Roman"/>
          <w:sz w:val="24"/>
          <w:szCs w:val="24"/>
        </w:rPr>
        <w:t xml:space="preserve">balance of costs and benefits, could be a useful way to identify </w:t>
      </w:r>
      <w:r w:rsidR="00DB70C9">
        <w:rPr>
          <w:rFonts w:ascii="Times New Roman" w:hAnsi="Times New Roman" w:cs="Times New Roman"/>
          <w:sz w:val="24"/>
          <w:szCs w:val="24"/>
        </w:rPr>
        <w:t>options</w:t>
      </w:r>
      <w:r>
        <w:rPr>
          <w:rFonts w:ascii="Times New Roman" w:hAnsi="Times New Roman" w:cs="Times New Roman"/>
          <w:sz w:val="24"/>
          <w:szCs w:val="24"/>
        </w:rPr>
        <w:t xml:space="preserve"> for improvement.</w:t>
      </w:r>
    </w:p>
    <w:p w:rsidR="00BC4F5B" w:rsidRDefault="00BC4F5B" w:rsidP="008D745F">
      <w:pPr>
        <w:spacing w:after="0" w:line="360" w:lineRule="auto"/>
        <w:jc w:val="both"/>
        <w:rPr>
          <w:rFonts w:ascii="Times New Roman" w:hAnsi="Times New Roman" w:cs="Times New Roman"/>
          <w:sz w:val="24"/>
          <w:szCs w:val="24"/>
        </w:rPr>
      </w:pPr>
    </w:p>
    <w:p w:rsidR="00BC4F5B" w:rsidRDefault="00BC4F5B" w:rsidP="008D745F">
      <w:pPr>
        <w:spacing w:after="0" w:line="360" w:lineRule="auto"/>
        <w:jc w:val="both"/>
        <w:rPr>
          <w:rFonts w:ascii="Times New Roman" w:hAnsi="Times New Roman" w:cs="Times New Roman"/>
          <w:sz w:val="24"/>
          <w:szCs w:val="24"/>
        </w:rPr>
      </w:pPr>
    </w:p>
    <w:p w:rsidR="006D2304" w:rsidRPr="00BC4F5B" w:rsidRDefault="00BC4F5B" w:rsidP="00BC4F5B">
      <w:pPr>
        <w:pStyle w:val="ListParagraph"/>
        <w:numPr>
          <w:ilvl w:val="0"/>
          <w:numId w:val="10"/>
        </w:numPr>
        <w:spacing w:after="0" w:line="360" w:lineRule="auto"/>
        <w:jc w:val="both"/>
        <w:rPr>
          <w:rFonts w:ascii="Times New Roman" w:hAnsi="Times New Roman" w:cs="Times New Roman"/>
          <w:b/>
          <w:sz w:val="24"/>
          <w:szCs w:val="24"/>
        </w:rPr>
      </w:pPr>
      <w:r w:rsidRPr="00BC4F5B">
        <w:rPr>
          <w:rFonts w:ascii="Times New Roman" w:hAnsi="Times New Roman" w:cs="Times New Roman"/>
          <w:b/>
          <w:sz w:val="24"/>
          <w:szCs w:val="24"/>
        </w:rPr>
        <w:t>Experience in respect of RDPs in England and Malta</w:t>
      </w:r>
    </w:p>
    <w:p w:rsidR="00E7214C" w:rsidRDefault="00E65389" w:rsidP="008D74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examine </w:t>
      </w:r>
      <w:r w:rsidR="00DB70C9">
        <w:rPr>
          <w:rFonts w:ascii="Times New Roman" w:hAnsi="Times New Roman" w:cs="Times New Roman"/>
          <w:sz w:val="24"/>
          <w:szCs w:val="24"/>
        </w:rPr>
        <w:t xml:space="preserve">how RDP </w:t>
      </w:r>
      <w:r>
        <w:rPr>
          <w:rFonts w:ascii="Times New Roman" w:hAnsi="Times New Roman" w:cs="Times New Roman"/>
          <w:sz w:val="24"/>
          <w:szCs w:val="24"/>
        </w:rPr>
        <w:t xml:space="preserve">design </w:t>
      </w:r>
      <w:r w:rsidR="00DB70C9">
        <w:rPr>
          <w:rFonts w:ascii="Times New Roman" w:hAnsi="Times New Roman" w:cs="Times New Roman"/>
          <w:sz w:val="24"/>
          <w:szCs w:val="24"/>
        </w:rPr>
        <w:t>can aim</w:t>
      </w:r>
      <w:r>
        <w:rPr>
          <w:rFonts w:ascii="Times New Roman" w:hAnsi="Times New Roman" w:cs="Times New Roman"/>
          <w:sz w:val="24"/>
          <w:szCs w:val="24"/>
        </w:rPr>
        <w:t xml:space="preserve"> to enhance the net benefit of transaction processes</w:t>
      </w:r>
      <w:r w:rsidR="00DB70C9">
        <w:rPr>
          <w:rFonts w:ascii="Times New Roman" w:hAnsi="Times New Roman" w:cs="Times New Roman"/>
          <w:sz w:val="24"/>
          <w:szCs w:val="24"/>
        </w:rPr>
        <w:t xml:space="preserve"> and thereby improve policy performance</w:t>
      </w:r>
      <w:r>
        <w:rPr>
          <w:rFonts w:ascii="Times New Roman" w:hAnsi="Times New Roman" w:cs="Times New Roman"/>
          <w:sz w:val="24"/>
          <w:szCs w:val="24"/>
        </w:rPr>
        <w:t xml:space="preserve">, we </w:t>
      </w:r>
      <w:r w:rsidR="00DB70C9">
        <w:rPr>
          <w:rFonts w:ascii="Times New Roman" w:hAnsi="Times New Roman" w:cs="Times New Roman"/>
          <w:sz w:val="24"/>
          <w:szCs w:val="24"/>
        </w:rPr>
        <w:t>present</w:t>
      </w:r>
      <w:r w:rsidR="0070006E">
        <w:rPr>
          <w:rFonts w:ascii="Times New Roman" w:hAnsi="Times New Roman" w:cs="Times New Roman"/>
          <w:sz w:val="24"/>
          <w:szCs w:val="24"/>
        </w:rPr>
        <w:t xml:space="preserve"> </w:t>
      </w:r>
      <w:r w:rsidR="00BF6752">
        <w:rPr>
          <w:rFonts w:ascii="Times New Roman" w:hAnsi="Times New Roman" w:cs="Times New Roman"/>
          <w:sz w:val="24"/>
          <w:szCs w:val="24"/>
        </w:rPr>
        <w:t xml:space="preserve">two </w:t>
      </w:r>
      <w:r>
        <w:rPr>
          <w:rFonts w:ascii="Times New Roman" w:hAnsi="Times New Roman" w:cs="Times New Roman"/>
          <w:sz w:val="24"/>
          <w:szCs w:val="24"/>
        </w:rPr>
        <w:t xml:space="preserve">contrasting </w:t>
      </w:r>
      <w:r w:rsidR="0070006E">
        <w:rPr>
          <w:rFonts w:ascii="Times New Roman" w:hAnsi="Times New Roman" w:cs="Times New Roman"/>
          <w:sz w:val="24"/>
          <w:szCs w:val="24"/>
        </w:rPr>
        <w:t>case s</w:t>
      </w:r>
      <w:r w:rsidR="00F26B57">
        <w:rPr>
          <w:rFonts w:ascii="Times New Roman" w:hAnsi="Times New Roman" w:cs="Times New Roman"/>
          <w:sz w:val="24"/>
          <w:szCs w:val="24"/>
        </w:rPr>
        <w:t xml:space="preserve">tudies </w:t>
      </w:r>
      <w:r w:rsidR="00DB70C9">
        <w:rPr>
          <w:rFonts w:ascii="Times New Roman" w:hAnsi="Times New Roman" w:cs="Times New Roman"/>
          <w:sz w:val="24"/>
          <w:szCs w:val="24"/>
        </w:rPr>
        <w:t xml:space="preserve">of </w:t>
      </w:r>
      <w:r w:rsidR="00F26B57">
        <w:rPr>
          <w:rFonts w:ascii="Times New Roman" w:hAnsi="Times New Roman" w:cs="Times New Roman"/>
          <w:sz w:val="24"/>
          <w:szCs w:val="24"/>
        </w:rPr>
        <w:t>England and Malta</w:t>
      </w:r>
      <w:r w:rsidR="003B5B6C">
        <w:rPr>
          <w:rFonts w:ascii="Times New Roman" w:hAnsi="Times New Roman" w:cs="Times New Roman"/>
          <w:sz w:val="24"/>
          <w:szCs w:val="24"/>
        </w:rPr>
        <w:t xml:space="preserve">, where the authors </w:t>
      </w:r>
      <w:r w:rsidR="00DB70C9">
        <w:rPr>
          <w:rFonts w:ascii="Times New Roman" w:hAnsi="Times New Roman" w:cs="Times New Roman"/>
          <w:sz w:val="24"/>
          <w:szCs w:val="24"/>
        </w:rPr>
        <w:t>had some</w:t>
      </w:r>
      <w:r w:rsidR="003B5B6C">
        <w:rPr>
          <w:rFonts w:ascii="Times New Roman" w:hAnsi="Times New Roman" w:cs="Times New Roman"/>
          <w:sz w:val="24"/>
          <w:szCs w:val="24"/>
        </w:rPr>
        <w:t xml:space="preserve"> direc</w:t>
      </w:r>
      <w:r w:rsidR="000A2504">
        <w:rPr>
          <w:rFonts w:ascii="Times New Roman" w:hAnsi="Times New Roman" w:cs="Times New Roman"/>
          <w:sz w:val="24"/>
          <w:szCs w:val="24"/>
        </w:rPr>
        <w:t xml:space="preserve">t engagement in </w:t>
      </w:r>
      <w:r w:rsidR="00DB70C9">
        <w:rPr>
          <w:rFonts w:ascii="Times New Roman" w:hAnsi="Times New Roman" w:cs="Times New Roman"/>
          <w:sz w:val="24"/>
          <w:szCs w:val="24"/>
        </w:rPr>
        <w:t>policy evaluation and development</w:t>
      </w:r>
      <w:r w:rsidR="0070006E">
        <w:rPr>
          <w:rFonts w:ascii="Times New Roman" w:hAnsi="Times New Roman" w:cs="Times New Roman"/>
          <w:sz w:val="24"/>
          <w:szCs w:val="24"/>
        </w:rPr>
        <w:t>.</w:t>
      </w:r>
      <w:r w:rsidR="00E7214C">
        <w:rPr>
          <w:rFonts w:ascii="Times New Roman" w:hAnsi="Times New Roman" w:cs="Times New Roman"/>
          <w:sz w:val="24"/>
          <w:szCs w:val="24"/>
        </w:rPr>
        <w:t xml:space="preserve"> Both countri</w:t>
      </w:r>
      <w:r w:rsidR="0003286F">
        <w:rPr>
          <w:rFonts w:ascii="Times New Roman" w:hAnsi="Times New Roman" w:cs="Times New Roman"/>
          <w:sz w:val="24"/>
          <w:szCs w:val="24"/>
        </w:rPr>
        <w:t xml:space="preserve">es have </w:t>
      </w:r>
      <w:r w:rsidR="00DB70C9">
        <w:rPr>
          <w:rFonts w:ascii="Times New Roman" w:hAnsi="Times New Roman" w:cs="Times New Roman"/>
          <w:sz w:val="24"/>
          <w:szCs w:val="24"/>
        </w:rPr>
        <w:t xml:space="preserve">single </w:t>
      </w:r>
      <w:r w:rsidR="0003286F">
        <w:rPr>
          <w:rFonts w:ascii="Times New Roman" w:hAnsi="Times New Roman" w:cs="Times New Roman"/>
          <w:sz w:val="24"/>
          <w:szCs w:val="24"/>
        </w:rPr>
        <w:t xml:space="preserve">RDPs </w:t>
      </w:r>
      <w:r w:rsidR="00DB70C9">
        <w:rPr>
          <w:rFonts w:ascii="Times New Roman" w:hAnsi="Times New Roman" w:cs="Times New Roman"/>
          <w:sz w:val="24"/>
          <w:szCs w:val="24"/>
        </w:rPr>
        <w:t>overseen by a central Managing Authority</w:t>
      </w:r>
      <w:r w:rsidR="0003286F">
        <w:rPr>
          <w:rFonts w:ascii="Times New Roman" w:hAnsi="Times New Roman" w:cs="Times New Roman"/>
          <w:sz w:val="24"/>
          <w:szCs w:val="24"/>
        </w:rPr>
        <w:t xml:space="preserve"> </w:t>
      </w:r>
      <w:r w:rsidR="00DB70C9">
        <w:rPr>
          <w:rFonts w:ascii="Times New Roman" w:hAnsi="Times New Roman" w:cs="Times New Roman"/>
          <w:sz w:val="24"/>
          <w:szCs w:val="24"/>
        </w:rPr>
        <w:t>(in contrast</w:t>
      </w:r>
      <w:r w:rsidR="0003286F">
        <w:rPr>
          <w:rFonts w:ascii="Times New Roman" w:hAnsi="Times New Roman" w:cs="Times New Roman"/>
          <w:sz w:val="24"/>
          <w:szCs w:val="24"/>
        </w:rPr>
        <w:t xml:space="preserve"> to </w:t>
      </w:r>
      <w:r w:rsidR="00E7214C">
        <w:rPr>
          <w:rFonts w:ascii="Times New Roman" w:hAnsi="Times New Roman" w:cs="Times New Roman"/>
          <w:sz w:val="24"/>
          <w:szCs w:val="24"/>
        </w:rPr>
        <w:t xml:space="preserve">countries and </w:t>
      </w:r>
      <w:r w:rsidR="0003286F">
        <w:rPr>
          <w:rFonts w:ascii="Times New Roman" w:hAnsi="Times New Roman" w:cs="Times New Roman"/>
          <w:sz w:val="24"/>
          <w:szCs w:val="24"/>
        </w:rPr>
        <w:t>regions</w:t>
      </w:r>
      <w:r w:rsidR="00A419F3">
        <w:rPr>
          <w:rFonts w:ascii="Times New Roman" w:hAnsi="Times New Roman" w:cs="Times New Roman"/>
          <w:sz w:val="24"/>
          <w:szCs w:val="24"/>
        </w:rPr>
        <w:t xml:space="preserve"> where a greater </w:t>
      </w:r>
      <w:r w:rsidR="00E7214C">
        <w:rPr>
          <w:rFonts w:ascii="Times New Roman" w:hAnsi="Times New Roman" w:cs="Times New Roman"/>
          <w:sz w:val="24"/>
          <w:szCs w:val="24"/>
        </w:rPr>
        <w:t>degre</w:t>
      </w:r>
      <w:r w:rsidR="00A419F3">
        <w:rPr>
          <w:rFonts w:ascii="Times New Roman" w:hAnsi="Times New Roman" w:cs="Times New Roman"/>
          <w:sz w:val="24"/>
          <w:szCs w:val="24"/>
        </w:rPr>
        <w:t>e of delegation</w:t>
      </w:r>
      <w:r w:rsidR="00E7214C">
        <w:rPr>
          <w:rFonts w:ascii="Times New Roman" w:hAnsi="Times New Roman" w:cs="Times New Roman"/>
          <w:sz w:val="24"/>
          <w:szCs w:val="24"/>
        </w:rPr>
        <w:t xml:space="preserve"> to regions or sub-regions occurs within the Programme</w:t>
      </w:r>
      <w:r w:rsidR="00DB70C9">
        <w:rPr>
          <w:rFonts w:ascii="Times New Roman" w:hAnsi="Times New Roman" w:cs="Times New Roman"/>
          <w:sz w:val="24"/>
          <w:szCs w:val="24"/>
        </w:rPr>
        <w:t xml:space="preserve">, </w:t>
      </w:r>
      <w:r w:rsidR="00E7214C">
        <w:rPr>
          <w:rFonts w:ascii="Times New Roman" w:hAnsi="Times New Roman" w:cs="Times New Roman"/>
          <w:sz w:val="24"/>
          <w:szCs w:val="24"/>
        </w:rPr>
        <w:t>e.g. France, Poland, Sweden)</w:t>
      </w:r>
      <w:r w:rsidR="00A419F3">
        <w:rPr>
          <w:rFonts w:ascii="Times New Roman" w:hAnsi="Times New Roman" w:cs="Times New Roman"/>
          <w:sz w:val="24"/>
          <w:szCs w:val="24"/>
        </w:rPr>
        <w:t>.</w:t>
      </w:r>
      <w:r w:rsidR="00E7214C">
        <w:rPr>
          <w:rFonts w:ascii="Times New Roman" w:hAnsi="Times New Roman" w:cs="Times New Roman"/>
          <w:sz w:val="24"/>
          <w:szCs w:val="24"/>
        </w:rPr>
        <w:t xml:space="preserve"> Nevertheless, </w:t>
      </w:r>
      <w:r w:rsidR="00DB70C9">
        <w:rPr>
          <w:rFonts w:ascii="Times New Roman" w:hAnsi="Times New Roman" w:cs="Times New Roman"/>
          <w:sz w:val="24"/>
          <w:szCs w:val="24"/>
        </w:rPr>
        <w:t>Malta and England</w:t>
      </w:r>
      <w:r w:rsidR="00E7214C">
        <w:rPr>
          <w:rFonts w:ascii="Times New Roman" w:hAnsi="Times New Roman" w:cs="Times New Roman"/>
          <w:sz w:val="24"/>
          <w:szCs w:val="24"/>
        </w:rPr>
        <w:t xml:space="preserve"> differ markedly in </w:t>
      </w:r>
      <w:r w:rsidR="002E7C4E">
        <w:rPr>
          <w:rFonts w:ascii="Times New Roman" w:hAnsi="Times New Roman" w:cs="Times New Roman"/>
          <w:sz w:val="24"/>
          <w:szCs w:val="24"/>
        </w:rPr>
        <w:t>their socio-economic and environmental context</w:t>
      </w:r>
      <w:r w:rsidR="00937DD3">
        <w:rPr>
          <w:rFonts w:ascii="Times New Roman" w:hAnsi="Times New Roman" w:cs="Times New Roman"/>
          <w:sz w:val="24"/>
          <w:szCs w:val="24"/>
        </w:rPr>
        <w:t xml:space="preserve"> (as summarised in Table 2)</w:t>
      </w:r>
      <w:r w:rsidR="002E7C4E">
        <w:rPr>
          <w:rFonts w:ascii="Times New Roman" w:hAnsi="Times New Roman" w:cs="Times New Roman"/>
          <w:sz w:val="24"/>
          <w:szCs w:val="24"/>
        </w:rPr>
        <w:t xml:space="preserve">, as well as their </w:t>
      </w:r>
      <w:r w:rsidR="00B72766">
        <w:rPr>
          <w:rFonts w:ascii="Times New Roman" w:hAnsi="Times New Roman" w:cs="Times New Roman"/>
          <w:sz w:val="24"/>
          <w:szCs w:val="24"/>
        </w:rPr>
        <w:t>length of</w:t>
      </w:r>
      <w:r w:rsidR="002E7C4E">
        <w:rPr>
          <w:rFonts w:ascii="Times New Roman" w:hAnsi="Times New Roman" w:cs="Times New Roman"/>
          <w:sz w:val="24"/>
          <w:szCs w:val="24"/>
        </w:rPr>
        <w:t xml:space="preserve"> experience </w:t>
      </w:r>
      <w:r w:rsidR="00B72766">
        <w:rPr>
          <w:rFonts w:ascii="Times New Roman" w:hAnsi="Times New Roman" w:cs="Times New Roman"/>
          <w:sz w:val="24"/>
          <w:szCs w:val="24"/>
        </w:rPr>
        <w:t>with</w:t>
      </w:r>
      <w:r w:rsidR="00E7214C">
        <w:rPr>
          <w:rFonts w:ascii="Times New Roman" w:hAnsi="Times New Roman" w:cs="Times New Roman"/>
          <w:sz w:val="24"/>
          <w:szCs w:val="24"/>
        </w:rPr>
        <w:t xml:space="preserve"> EU Programme</w:t>
      </w:r>
      <w:r w:rsidR="00B72766">
        <w:rPr>
          <w:rFonts w:ascii="Times New Roman" w:hAnsi="Times New Roman" w:cs="Times New Roman"/>
          <w:sz w:val="24"/>
          <w:szCs w:val="24"/>
        </w:rPr>
        <w:t>s</w:t>
      </w:r>
      <w:r w:rsidR="00E7214C">
        <w:rPr>
          <w:rFonts w:ascii="Times New Roman" w:hAnsi="Times New Roman" w:cs="Times New Roman"/>
          <w:sz w:val="24"/>
          <w:szCs w:val="24"/>
        </w:rPr>
        <w:t>.</w:t>
      </w:r>
      <w:r w:rsidR="00937DD3">
        <w:rPr>
          <w:rFonts w:ascii="Times New Roman" w:hAnsi="Times New Roman" w:cs="Times New Roman"/>
          <w:sz w:val="24"/>
          <w:szCs w:val="24"/>
        </w:rPr>
        <w:t xml:space="preserve"> </w:t>
      </w:r>
      <w:r w:rsidR="00D5432E">
        <w:rPr>
          <w:rFonts w:ascii="Times New Roman" w:hAnsi="Times New Roman" w:cs="Times New Roman"/>
          <w:sz w:val="24"/>
          <w:szCs w:val="24"/>
        </w:rPr>
        <w:t xml:space="preserve">They </w:t>
      </w:r>
      <w:r w:rsidR="00B72766">
        <w:rPr>
          <w:rFonts w:ascii="Times New Roman" w:hAnsi="Times New Roman" w:cs="Times New Roman"/>
          <w:sz w:val="24"/>
          <w:szCs w:val="24"/>
        </w:rPr>
        <w:t>therefore</w:t>
      </w:r>
      <w:r w:rsidR="00D5432E">
        <w:rPr>
          <w:rFonts w:ascii="Times New Roman" w:hAnsi="Times New Roman" w:cs="Times New Roman"/>
          <w:sz w:val="24"/>
          <w:szCs w:val="24"/>
        </w:rPr>
        <w:t xml:space="preserve"> illustrate </w:t>
      </w:r>
      <w:r w:rsidR="00B72766">
        <w:rPr>
          <w:rFonts w:ascii="Times New Roman" w:hAnsi="Times New Roman" w:cs="Times New Roman"/>
          <w:sz w:val="24"/>
          <w:szCs w:val="24"/>
        </w:rPr>
        <w:t>very different situations in which</w:t>
      </w:r>
      <w:r>
        <w:rPr>
          <w:rFonts w:ascii="Times New Roman" w:hAnsi="Times New Roman" w:cs="Times New Roman"/>
          <w:sz w:val="24"/>
          <w:szCs w:val="24"/>
        </w:rPr>
        <w:t xml:space="preserve"> </w:t>
      </w:r>
      <w:r w:rsidR="00B72766">
        <w:rPr>
          <w:rFonts w:ascii="Times New Roman" w:hAnsi="Times New Roman" w:cs="Times New Roman"/>
          <w:sz w:val="24"/>
          <w:szCs w:val="24"/>
        </w:rPr>
        <w:t xml:space="preserve">policy </w:t>
      </w:r>
      <w:r>
        <w:rPr>
          <w:rFonts w:ascii="Times New Roman" w:hAnsi="Times New Roman" w:cs="Times New Roman"/>
          <w:sz w:val="24"/>
          <w:szCs w:val="24"/>
        </w:rPr>
        <w:t>transaction</w:t>
      </w:r>
      <w:r w:rsidR="00B72766">
        <w:rPr>
          <w:rFonts w:ascii="Times New Roman" w:hAnsi="Times New Roman" w:cs="Times New Roman"/>
          <w:sz w:val="24"/>
          <w:szCs w:val="24"/>
        </w:rPr>
        <w:t>s occur, with</w:t>
      </w:r>
      <w:r w:rsidR="00D5432E">
        <w:rPr>
          <w:rFonts w:ascii="Times New Roman" w:hAnsi="Times New Roman" w:cs="Times New Roman"/>
          <w:sz w:val="24"/>
          <w:szCs w:val="24"/>
        </w:rPr>
        <w:t xml:space="preserve"> consequent</w:t>
      </w:r>
      <w:r>
        <w:rPr>
          <w:rFonts w:ascii="Times New Roman" w:hAnsi="Times New Roman" w:cs="Times New Roman"/>
          <w:sz w:val="24"/>
          <w:szCs w:val="24"/>
        </w:rPr>
        <w:t xml:space="preserve"> </w:t>
      </w:r>
      <w:r w:rsidR="00D5432E">
        <w:rPr>
          <w:rFonts w:ascii="Times New Roman" w:hAnsi="Times New Roman" w:cs="Times New Roman"/>
          <w:sz w:val="24"/>
          <w:szCs w:val="24"/>
        </w:rPr>
        <w:t xml:space="preserve">influences upon </w:t>
      </w:r>
      <w:r w:rsidR="00B72766">
        <w:rPr>
          <w:rFonts w:ascii="Times New Roman" w:hAnsi="Times New Roman" w:cs="Times New Roman"/>
          <w:sz w:val="24"/>
          <w:szCs w:val="24"/>
        </w:rPr>
        <w:t>RDP</w:t>
      </w:r>
      <w:r w:rsidR="00D5432E">
        <w:rPr>
          <w:rFonts w:ascii="Times New Roman" w:hAnsi="Times New Roman" w:cs="Times New Roman"/>
          <w:sz w:val="24"/>
          <w:szCs w:val="24"/>
        </w:rPr>
        <w:t xml:space="preserve"> performance.</w:t>
      </w:r>
    </w:p>
    <w:p w:rsidR="0070414D" w:rsidRDefault="0070414D">
      <w:pPr>
        <w:rPr>
          <w:rFonts w:ascii="Times New Roman" w:hAnsi="Times New Roman" w:cs="Times New Roman"/>
          <w:b/>
          <w:sz w:val="24"/>
          <w:szCs w:val="24"/>
        </w:rPr>
      </w:pPr>
      <w:r>
        <w:rPr>
          <w:rFonts w:ascii="Times New Roman" w:hAnsi="Times New Roman" w:cs="Times New Roman"/>
          <w:b/>
          <w:sz w:val="24"/>
          <w:szCs w:val="24"/>
        </w:rPr>
        <w:br w:type="page"/>
      </w:r>
    </w:p>
    <w:p w:rsidR="00E7214C" w:rsidRPr="00F00B6B" w:rsidRDefault="002E7C4E" w:rsidP="0070414D">
      <w:pPr>
        <w:rPr>
          <w:rFonts w:ascii="Times New Roman" w:hAnsi="Times New Roman" w:cs="Times New Roman"/>
          <w:b/>
          <w:sz w:val="24"/>
          <w:szCs w:val="24"/>
        </w:rPr>
      </w:pPr>
      <w:r w:rsidRPr="00F00B6B">
        <w:rPr>
          <w:rFonts w:ascii="Times New Roman" w:hAnsi="Times New Roman" w:cs="Times New Roman"/>
          <w:b/>
          <w:sz w:val="24"/>
          <w:szCs w:val="24"/>
        </w:rPr>
        <w:lastRenderedPageBreak/>
        <w:t xml:space="preserve">Table </w:t>
      </w:r>
      <w:r w:rsidR="00BB3966" w:rsidRPr="00F00B6B">
        <w:rPr>
          <w:rFonts w:ascii="Times New Roman" w:hAnsi="Times New Roman" w:cs="Times New Roman"/>
          <w:b/>
          <w:sz w:val="24"/>
          <w:szCs w:val="24"/>
        </w:rPr>
        <w:t>2</w:t>
      </w:r>
      <w:r w:rsidR="00F00B6B" w:rsidRPr="00F00B6B">
        <w:rPr>
          <w:rFonts w:ascii="Times New Roman" w:hAnsi="Times New Roman" w:cs="Times New Roman"/>
          <w:b/>
          <w:sz w:val="24"/>
          <w:szCs w:val="24"/>
        </w:rPr>
        <w:t>: Comparison of s</w:t>
      </w:r>
      <w:r w:rsidRPr="00F00B6B">
        <w:rPr>
          <w:rFonts w:ascii="Times New Roman" w:hAnsi="Times New Roman" w:cs="Times New Roman"/>
          <w:b/>
          <w:sz w:val="24"/>
          <w:szCs w:val="24"/>
        </w:rPr>
        <w:t>ome b</w:t>
      </w:r>
      <w:r w:rsidR="00F00B6B" w:rsidRPr="00F00B6B">
        <w:rPr>
          <w:rFonts w:ascii="Times New Roman" w:hAnsi="Times New Roman" w:cs="Times New Roman"/>
          <w:b/>
          <w:sz w:val="24"/>
          <w:szCs w:val="24"/>
        </w:rPr>
        <w:t>asic characteristics of England and Malta</w:t>
      </w:r>
    </w:p>
    <w:tbl>
      <w:tblPr>
        <w:tblStyle w:val="TableGrid"/>
        <w:tblW w:w="0" w:type="auto"/>
        <w:tblLook w:val="04A0" w:firstRow="1" w:lastRow="0" w:firstColumn="1" w:lastColumn="0" w:noHBand="0" w:noVBand="1"/>
      </w:tblPr>
      <w:tblGrid>
        <w:gridCol w:w="3192"/>
        <w:gridCol w:w="3192"/>
        <w:gridCol w:w="3192"/>
      </w:tblGrid>
      <w:tr w:rsidR="00E7214C" w:rsidRPr="000169F3" w:rsidTr="00E7214C">
        <w:tc>
          <w:tcPr>
            <w:tcW w:w="3192" w:type="dxa"/>
          </w:tcPr>
          <w:p w:rsidR="00E7214C" w:rsidRPr="000169F3" w:rsidRDefault="00E7214C" w:rsidP="000169F3">
            <w:pPr>
              <w:jc w:val="both"/>
              <w:rPr>
                <w:rFonts w:ascii="Times New Roman" w:hAnsi="Times New Roman" w:cs="Times New Roman"/>
                <w:b/>
              </w:rPr>
            </w:pPr>
            <w:r w:rsidRPr="000169F3">
              <w:rPr>
                <w:rFonts w:ascii="Times New Roman" w:hAnsi="Times New Roman" w:cs="Times New Roman"/>
                <w:b/>
              </w:rPr>
              <w:t>Feature</w:t>
            </w:r>
          </w:p>
        </w:tc>
        <w:tc>
          <w:tcPr>
            <w:tcW w:w="3192" w:type="dxa"/>
          </w:tcPr>
          <w:p w:rsidR="00E7214C" w:rsidRPr="000169F3" w:rsidRDefault="00E7214C" w:rsidP="000169F3">
            <w:pPr>
              <w:jc w:val="both"/>
              <w:rPr>
                <w:rFonts w:ascii="Times New Roman" w:hAnsi="Times New Roman" w:cs="Times New Roman"/>
                <w:b/>
              </w:rPr>
            </w:pPr>
            <w:r w:rsidRPr="000169F3">
              <w:rPr>
                <w:rFonts w:ascii="Times New Roman" w:hAnsi="Times New Roman" w:cs="Times New Roman"/>
                <w:b/>
              </w:rPr>
              <w:t>Malta</w:t>
            </w:r>
            <w:r w:rsidR="0040785D" w:rsidRPr="000169F3">
              <w:rPr>
                <w:rFonts w:ascii="Times New Roman" w:hAnsi="Times New Roman" w:cs="Times New Roman"/>
                <w:b/>
                <w:vertAlign w:val="superscript"/>
              </w:rPr>
              <w:t>(a)</w:t>
            </w:r>
          </w:p>
        </w:tc>
        <w:tc>
          <w:tcPr>
            <w:tcW w:w="3192" w:type="dxa"/>
          </w:tcPr>
          <w:p w:rsidR="00E7214C" w:rsidRPr="000169F3" w:rsidRDefault="00E7214C" w:rsidP="000169F3">
            <w:pPr>
              <w:jc w:val="both"/>
              <w:rPr>
                <w:rFonts w:ascii="Times New Roman" w:hAnsi="Times New Roman" w:cs="Times New Roman"/>
                <w:b/>
              </w:rPr>
            </w:pPr>
            <w:r w:rsidRPr="000169F3">
              <w:rPr>
                <w:rFonts w:ascii="Times New Roman" w:hAnsi="Times New Roman" w:cs="Times New Roman"/>
                <w:b/>
              </w:rPr>
              <w:t>England</w:t>
            </w:r>
            <w:r w:rsidR="0040785D" w:rsidRPr="000169F3">
              <w:rPr>
                <w:rFonts w:ascii="Times New Roman" w:hAnsi="Times New Roman" w:cs="Times New Roman"/>
                <w:b/>
                <w:vertAlign w:val="superscript"/>
              </w:rPr>
              <w:t>(b)</w:t>
            </w:r>
          </w:p>
        </w:tc>
      </w:tr>
      <w:tr w:rsidR="00E7214C" w:rsidRPr="000169F3" w:rsidTr="00E7214C">
        <w:tc>
          <w:tcPr>
            <w:tcW w:w="3192" w:type="dxa"/>
          </w:tcPr>
          <w:p w:rsidR="00E7214C" w:rsidRPr="000169F3" w:rsidRDefault="00900318" w:rsidP="00C51760">
            <w:pPr>
              <w:jc w:val="both"/>
              <w:rPr>
                <w:rFonts w:ascii="Times New Roman" w:hAnsi="Times New Roman" w:cs="Times New Roman"/>
              </w:rPr>
            </w:pPr>
            <w:r>
              <w:rPr>
                <w:rFonts w:ascii="Times New Roman" w:hAnsi="Times New Roman" w:cs="Times New Roman"/>
              </w:rPr>
              <w:t>Total area</w:t>
            </w:r>
          </w:p>
          <w:p w:rsidR="001C1BDB" w:rsidRPr="000169F3" w:rsidRDefault="001C1BDB" w:rsidP="000169F3">
            <w:pPr>
              <w:jc w:val="both"/>
              <w:rPr>
                <w:rFonts w:ascii="Times New Roman" w:hAnsi="Times New Roman" w:cs="Times New Roman"/>
              </w:rPr>
            </w:pPr>
            <w:r w:rsidRPr="000169F3">
              <w:rPr>
                <w:rFonts w:ascii="Times New Roman" w:hAnsi="Times New Roman" w:cs="Times New Roman"/>
              </w:rPr>
              <w:t>Population</w:t>
            </w:r>
          </w:p>
          <w:p w:rsidR="00603A6F" w:rsidRPr="000169F3" w:rsidRDefault="00603A6F" w:rsidP="000169F3">
            <w:pPr>
              <w:jc w:val="both"/>
              <w:rPr>
                <w:rFonts w:ascii="Times New Roman" w:hAnsi="Times New Roman" w:cs="Times New Roman"/>
              </w:rPr>
            </w:pPr>
            <w:r w:rsidRPr="000169F3">
              <w:rPr>
                <w:rFonts w:ascii="Times New Roman" w:hAnsi="Times New Roman" w:cs="Times New Roman"/>
              </w:rPr>
              <w:t>Population density</w:t>
            </w:r>
          </w:p>
          <w:p w:rsidR="002E7C4E" w:rsidRPr="000169F3" w:rsidRDefault="002E7C4E" w:rsidP="000169F3">
            <w:pPr>
              <w:jc w:val="both"/>
              <w:rPr>
                <w:rFonts w:ascii="Times New Roman" w:hAnsi="Times New Roman" w:cs="Times New Roman"/>
              </w:rPr>
            </w:pPr>
            <w:r w:rsidRPr="000169F3">
              <w:rPr>
                <w:rFonts w:ascii="Times New Roman" w:hAnsi="Times New Roman" w:cs="Times New Roman"/>
              </w:rPr>
              <w:t>Scale of RDP</w:t>
            </w:r>
          </w:p>
        </w:tc>
        <w:tc>
          <w:tcPr>
            <w:tcW w:w="3192" w:type="dxa"/>
          </w:tcPr>
          <w:p w:rsidR="00E7214C" w:rsidRPr="000169F3" w:rsidRDefault="001C1BDB" w:rsidP="000169F3">
            <w:pPr>
              <w:jc w:val="both"/>
              <w:rPr>
                <w:rFonts w:ascii="Times New Roman" w:hAnsi="Times New Roman" w:cs="Times New Roman"/>
                <w:vertAlign w:val="superscript"/>
              </w:rPr>
            </w:pPr>
            <w:r w:rsidRPr="000169F3">
              <w:rPr>
                <w:rFonts w:ascii="Times New Roman" w:hAnsi="Times New Roman" w:cs="Times New Roman"/>
              </w:rPr>
              <w:t>316 km</w:t>
            </w:r>
            <w:r w:rsidRPr="000169F3">
              <w:rPr>
                <w:rFonts w:ascii="Times New Roman" w:hAnsi="Times New Roman" w:cs="Times New Roman"/>
                <w:vertAlign w:val="superscript"/>
              </w:rPr>
              <w:t>2</w:t>
            </w:r>
          </w:p>
          <w:p w:rsidR="001C1BDB" w:rsidRPr="000169F3" w:rsidRDefault="001C1BDB" w:rsidP="000169F3">
            <w:pPr>
              <w:jc w:val="both"/>
              <w:rPr>
                <w:rFonts w:ascii="Times New Roman" w:hAnsi="Times New Roman" w:cs="Times New Roman"/>
              </w:rPr>
            </w:pPr>
            <w:r w:rsidRPr="000169F3">
              <w:rPr>
                <w:rFonts w:ascii="Times New Roman" w:hAnsi="Times New Roman" w:cs="Times New Roman"/>
              </w:rPr>
              <w:t>42</w:t>
            </w:r>
            <w:r w:rsidR="006A5491" w:rsidRPr="000169F3">
              <w:rPr>
                <w:rFonts w:ascii="Times New Roman" w:hAnsi="Times New Roman" w:cs="Times New Roman"/>
              </w:rPr>
              <w:t>5</w:t>
            </w:r>
            <w:r w:rsidRPr="000169F3">
              <w:rPr>
                <w:rFonts w:ascii="Times New Roman" w:hAnsi="Times New Roman" w:cs="Times New Roman"/>
              </w:rPr>
              <w:t>,000</w:t>
            </w:r>
            <w:r w:rsidR="006A5491" w:rsidRPr="000169F3">
              <w:rPr>
                <w:rFonts w:ascii="Times New Roman" w:hAnsi="Times New Roman" w:cs="Times New Roman"/>
              </w:rPr>
              <w:t xml:space="preserve"> (2013)</w:t>
            </w:r>
          </w:p>
          <w:p w:rsidR="00603A6F" w:rsidRPr="000169F3" w:rsidRDefault="00603A6F" w:rsidP="000169F3">
            <w:pPr>
              <w:jc w:val="both"/>
              <w:rPr>
                <w:rFonts w:ascii="Times New Roman" w:hAnsi="Times New Roman" w:cs="Times New Roman"/>
                <w:vertAlign w:val="superscript"/>
              </w:rPr>
            </w:pPr>
            <w:r w:rsidRPr="000169F3">
              <w:rPr>
                <w:rFonts w:ascii="Times New Roman" w:hAnsi="Times New Roman" w:cs="Times New Roman"/>
              </w:rPr>
              <w:t>1,344 inhabitants/km</w:t>
            </w:r>
            <w:r w:rsidRPr="000169F3">
              <w:rPr>
                <w:rFonts w:ascii="Times New Roman" w:hAnsi="Times New Roman" w:cs="Times New Roman"/>
                <w:vertAlign w:val="superscript"/>
              </w:rPr>
              <w:t>2</w:t>
            </w:r>
          </w:p>
          <w:p w:rsidR="009E4EE5" w:rsidRPr="000169F3" w:rsidRDefault="000169F3" w:rsidP="000169F3">
            <w:pPr>
              <w:jc w:val="both"/>
              <w:rPr>
                <w:rFonts w:ascii="Times New Roman" w:hAnsi="Times New Roman" w:cs="Times New Roman"/>
              </w:rPr>
            </w:pPr>
            <w:r w:rsidRPr="000169F3">
              <w:rPr>
                <w:rFonts w:ascii="Times New Roman" w:hAnsi="Times New Roman" w:cs="Times New Roman"/>
              </w:rPr>
              <w:t>€</w:t>
            </w:r>
            <w:r w:rsidR="0040785D" w:rsidRPr="000169F3">
              <w:rPr>
                <w:rFonts w:ascii="Times New Roman" w:hAnsi="Times New Roman" w:cs="Times New Roman"/>
              </w:rPr>
              <w:t>138 million (2014-20</w:t>
            </w:r>
            <w:r w:rsidR="009E4EE5" w:rsidRPr="000169F3">
              <w:rPr>
                <w:rFonts w:ascii="Times New Roman" w:hAnsi="Times New Roman" w:cs="Times New Roman"/>
              </w:rPr>
              <w:t>)</w:t>
            </w:r>
          </w:p>
        </w:tc>
        <w:tc>
          <w:tcPr>
            <w:tcW w:w="3192" w:type="dxa"/>
          </w:tcPr>
          <w:p w:rsidR="005C4017" w:rsidRPr="000169F3" w:rsidRDefault="005C4017" w:rsidP="000169F3">
            <w:pPr>
              <w:jc w:val="both"/>
              <w:rPr>
                <w:rFonts w:ascii="Times New Roman" w:hAnsi="Times New Roman" w:cs="Times New Roman"/>
              </w:rPr>
            </w:pPr>
            <w:r w:rsidRPr="000169F3">
              <w:rPr>
                <w:rFonts w:ascii="Times New Roman" w:hAnsi="Times New Roman" w:cs="Times New Roman"/>
              </w:rPr>
              <w:t>130,395 km</w:t>
            </w:r>
            <w:r w:rsidRPr="000169F3">
              <w:rPr>
                <w:rFonts w:ascii="Times New Roman" w:hAnsi="Times New Roman" w:cs="Times New Roman"/>
                <w:vertAlign w:val="superscript"/>
              </w:rPr>
              <w:t>2</w:t>
            </w:r>
          </w:p>
          <w:p w:rsidR="00E7214C" w:rsidRPr="000169F3" w:rsidRDefault="0040785D" w:rsidP="000169F3">
            <w:pPr>
              <w:jc w:val="both"/>
              <w:rPr>
                <w:rFonts w:ascii="Times New Roman" w:hAnsi="Times New Roman" w:cs="Times New Roman"/>
              </w:rPr>
            </w:pPr>
            <w:r w:rsidRPr="000169F3">
              <w:rPr>
                <w:rFonts w:ascii="Times New Roman" w:hAnsi="Times New Roman" w:cs="Times New Roman"/>
              </w:rPr>
              <w:t>53,865 million</w:t>
            </w:r>
            <w:r w:rsidR="005C4017" w:rsidRPr="000169F3">
              <w:rPr>
                <w:rFonts w:ascii="Times New Roman" w:hAnsi="Times New Roman" w:cs="Times New Roman"/>
              </w:rPr>
              <w:t xml:space="preserve"> (2013)</w:t>
            </w:r>
          </w:p>
          <w:p w:rsidR="00985912" w:rsidRPr="000169F3" w:rsidRDefault="005C4017" w:rsidP="000169F3">
            <w:pPr>
              <w:jc w:val="both"/>
              <w:rPr>
                <w:rFonts w:ascii="Times New Roman" w:hAnsi="Times New Roman" w:cs="Times New Roman"/>
              </w:rPr>
            </w:pPr>
            <w:r w:rsidRPr="000169F3">
              <w:rPr>
                <w:rFonts w:ascii="Times New Roman" w:hAnsi="Times New Roman" w:cs="Times New Roman"/>
              </w:rPr>
              <w:t>413 inhabitants/km</w:t>
            </w:r>
            <w:r w:rsidRPr="000169F3">
              <w:rPr>
                <w:rFonts w:ascii="Times New Roman" w:hAnsi="Times New Roman" w:cs="Times New Roman"/>
                <w:vertAlign w:val="superscript"/>
              </w:rPr>
              <w:t>2</w:t>
            </w:r>
          </w:p>
          <w:p w:rsidR="00985912" w:rsidRPr="000169F3" w:rsidRDefault="0040785D" w:rsidP="000169F3">
            <w:pPr>
              <w:jc w:val="both"/>
              <w:rPr>
                <w:rFonts w:ascii="Times New Roman" w:hAnsi="Times New Roman" w:cs="Times New Roman"/>
              </w:rPr>
            </w:pPr>
            <w:r w:rsidRPr="000169F3">
              <w:rPr>
                <w:rFonts w:ascii="Times New Roman" w:hAnsi="Times New Roman" w:cs="Times New Roman"/>
              </w:rPr>
              <w:t>€4,056 million (2014-20)</w:t>
            </w:r>
            <w:r w:rsidRPr="000169F3">
              <w:rPr>
                <w:rFonts w:ascii="Times New Roman" w:hAnsi="Times New Roman" w:cs="Times New Roman"/>
                <w:vertAlign w:val="superscript"/>
              </w:rPr>
              <w:t>(c)</w:t>
            </w:r>
          </w:p>
        </w:tc>
      </w:tr>
      <w:tr w:rsidR="00E7214C" w:rsidRPr="0070414D" w:rsidTr="00E7214C">
        <w:tc>
          <w:tcPr>
            <w:tcW w:w="3192" w:type="dxa"/>
          </w:tcPr>
          <w:p w:rsidR="00E7214C" w:rsidRPr="0070414D" w:rsidRDefault="000169F3" w:rsidP="000169F3">
            <w:pPr>
              <w:jc w:val="both"/>
              <w:rPr>
                <w:rFonts w:ascii="Times New Roman" w:hAnsi="Times New Roman" w:cs="Times New Roman"/>
              </w:rPr>
            </w:pPr>
            <w:r w:rsidRPr="0070414D">
              <w:rPr>
                <w:rFonts w:ascii="Times New Roman" w:hAnsi="Times New Roman" w:cs="Times New Roman"/>
              </w:rPr>
              <w:t>G</w:t>
            </w:r>
            <w:r w:rsidR="005552D0">
              <w:rPr>
                <w:rFonts w:ascii="Times New Roman" w:hAnsi="Times New Roman" w:cs="Times New Roman"/>
              </w:rPr>
              <w:t>ross value added</w:t>
            </w:r>
            <w:r w:rsidRPr="0070414D">
              <w:rPr>
                <w:rFonts w:ascii="Times New Roman" w:hAnsi="Times New Roman" w:cs="Times New Roman"/>
              </w:rPr>
              <w:t>/capita</w:t>
            </w:r>
          </w:p>
          <w:p w:rsidR="002E7C4E" w:rsidRPr="0070414D" w:rsidRDefault="002E7C4E" w:rsidP="000169F3">
            <w:pPr>
              <w:jc w:val="both"/>
              <w:rPr>
                <w:rFonts w:ascii="Times New Roman" w:hAnsi="Times New Roman" w:cs="Times New Roman"/>
              </w:rPr>
            </w:pPr>
            <w:r w:rsidRPr="0070414D">
              <w:rPr>
                <w:rFonts w:ascii="Times New Roman" w:hAnsi="Times New Roman" w:cs="Times New Roman"/>
              </w:rPr>
              <w:t>Climate and topography</w:t>
            </w:r>
          </w:p>
          <w:p w:rsidR="009E4EE5" w:rsidRPr="0070414D" w:rsidRDefault="009E4EE5" w:rsidP="000169F3">
            <w:pPr>
              <w:jc w:val="both"/>
              <w:rPr>
                <w:rFonts w:ascii="Times New Roman" w:hAnsi="Times New Roman" w:cs="Times New Roman"/>
              </w:rPr>
            </w:pPr>
          </w:p>
          <w:p w:rsidR="009E4EE5" w:rsidRPr="0070414D" w:rsidRDefault="009E4EE5" w:rsidP="000169F3">
            <w:pPr>
              <w:jc w:val="both"/>
              <w:rPr>
                <w:rFonts w:ascii="Times New Roman" w:hAnsi="Times New Roman" w:cs="Times New Roman"/>
              </w:rPr>
            </w:pPr>
          </w:p>
          <w:p w:rsidR="009E4EE5" w:rsidRPr="0070414D" w:rsidRDefault="009E4EE5" w:rsidP="000169F3">
            <w:pPr>
              <w:jc w:val="both"/>
              <w:rPr>
                <w:rFonts w:ascii="Times New Roman" w:hAnsi="Times New Roman" w:cs="Times New Roman"/>
              </w:rPr>
            </w:pPr>
          </w:p>
          <w:p w:rsidR="009E4EE5" w:rsidRPr="0070414D" w:rsidRDefault="009E4EE5" w:rsidP="000169F3">
            <w:pPr>
              <w:jc w:val="both"/>
              <w:rPr>
                <w:rFonts w:ascii="Times New Roman" w:hAnsi="Times New Roman" w:cs="Times New Roman"/>
              </w:rPr>
            </w:pPr>
            <w:r w:rsidRPr="0070414D">
              <w:rPr>
                <w:rFonts w:ascii="Times New Roman" w:hAnsi="Times New Roman" w:cs="Times New Roman"/>
              </w:rPr>
              <w:t>Total agricultural land</w:t>
            </w:r>
          </w:p>
        </w:tc>
        <w:tc>
          <w:tcPr>
            <w:tcW w:w="3192" w:type="dxa"/>
          </w:tcPr>
          <w:p w:rsidR="00E7214C" w:rsidRPr="005552D0" w:rsidRDefault="005552D0" w:rsidP="000169F3">
            <w:pPr>
              <w:rPr>
                <w:rFonts w:ascii="Times New Roman" w:hAnsi="Times New Roman" w:cs="Times New Roman"/>
                <w:b/>
              </w:rPr>
            </w:pPr>
            <w:r w:rsidRPr="005552D0">
              <w:rPr>
                <w:rStyle w:val="Strong"/>
                <w:rFonts w:ascii="Times New Roman" w:hAnsi="Times New Roman"/>
                <w:b w:val="0"/>
              </w:rPr>
              <w:t>GVA</w:t>
            </w:r>
            <w:r w:rsidR="001C1BDB" w:rsidRPr="005552D0">
              <w:rPr>
                <w:rStyle w:val="Strong"/>
                <w:rFonts w:ascii="Times New Roman" w:hAnsi="Times New Roman"/>
                <w:b w:val="0"/>
              </w:rPr>
              <w:t xml:space="preserve"> per </w:t>
            </w:r>
            <w:r w:rsidR="00900318" w:rsidRPr="005552D0">
              <w:rPr>
                <w:rStyle w:val="Strong"/>
                <w:rFonts w:ascii="Times New Roman" w:hAnsi="Times New Roman" w:cs="Times New Roman"/>
                <w:b w:val="0"/>
              </w:rPr>
              <w:t>c</w:t>
            </w:r>
            <w:r w:rsidR="001C1BDB" w:rsidRPr="005552D0">
              <w:rPr>
                <w:rStyle w:val="Strong"/>
                <w:rFonts w:ascii="Times New Roman" w:hAnsi="Times New Roman"/>
                <w:b w:val="0"/>
              </w:rPr>
              <w:t>apita</w:t>
            </w:r>
            <w:r w:rsidR="001C1BDB" w:rsidRPr="005552D0">
              <w:rPr>
                <w:rStyle w:val="Strong"/>
                <w:rFonts w:ascii="Times New Roman" w:hAnsi="Times New Roman" w:cs="Times New Roman"/>
                <w:b w:val="0"/>
              </w:rPr>
              <w:t xml:space="preserve"> </w:t>
            </w:r>
            <w:r w:rsidR="006A5491" w:rsidRPr="005552D0">
              <w:rPr>
                <w:rFonts w:ascii="Times New Roman" w:hAnsi="Times New Roman" w:cs="Times New Roman"/>
                <w:b/>
              </w:rPr>
              <w:t xml:space="preserve"> </w:t>
            </w:r>
            <w:r w:rsidR="006A5491" w:rsidRPr="005552D0">
              <w:rPr>
                <w:rStyle w:val="Strong"/>
                <w:rFonts w:ascii="Times New Roman" w:hAnsi="Times New Roman" w:cs="Times New Roman"/>
              </w:rPr>
              <w:t>€</w:t>
            </w:r>
            <w:r w:rsidR="006A5491" w:rsidRPr="005552D0">
              <w:rPr>
                <w:rFonts w:ascii="Times New Roman" w:hAnsi="Times New Roman" w:cs="Times New Roman"/>
              </w:rPr>
              <w:t>1</w:t>
            </w:r>
            <w:r w:rsidRPr="005552D0">
              <w:rPr>
                <w:rFonts w:ascii="Times New Roman" w:hAnsi="Times New Roman" w:cs="Times New Roman"/>
              </w:rPr>
              <w:t>6</w:t>
            </w:r>
            <w:r w:rsidR="006A5491" w:rsidRPr="005552D0">
              <w:rPr>
                <w:rFonts w:ascii="Times New Roman" w:hAnsi="Times New Roman" w:cs="Times New Roman"/>
              </w:rPr>
              <w:t>,</w:t>
            </w:r>
            <w:r w:rsidRPr="005552D0">
              <w:rPr>
                <w:rFonts w:ascii="Times New Roman" w:hAnsi="Times New Roman" w:cs="Times New Roman"/>
              </w:rPr>
              <w:t>469</w:t>
            </w:r>
            <w:r w:rsidR="001C1BDB" w:rsidRPr="005552D0">
              <w:rPr>
                <w:rFonts w:ascii="Times New Roman" w:hAnsi="Times New Roman" w:cs="Times New Roman"/>
              </w:rPr>
              <w:t xml:space="preserve"> (201</w:t>
            </w:r>
            <w:r w:rsidRPr="005552D0">
              <w:rPr>
                <w:rFonts w:ascii="Times New Roman" w:hAnsi="Times New Roman" w:cs="Times New Roman"/>
              </w:rPr>
              <w:t>4</w:t>
            </w:r>
            <w:r w:rsidR="001C1BDB" w:rsidRPr="005552D0">
              <w:rPr>
                <w:rFonts w:ascii="Times New Roman" w:hAnsi="Times New Roman" w:cs="Times New Roman"/>
              </w:rPr>
              <w:t>)</w:t>
            </w:r>
          </w:p>
          <w:p w:rsidR="005F6190" w:rsidRPr="005552D0" w:rsidRDefault="001C1BDB" w:rsidP="000169F3">
            <w:pPr>
              <w:rPr>
                <w:rFonts w:ascii="Times New Roman" w:hAnsi="Times New Roman" w:cs="Times New Roman"/>
              </w:rPr>
            </w:pPr>
            <w:r w:rsidRPr="005552D0">
              <w:rPr>
                <w:rFonts w:ascii="Times New Roman" w:hAnsi="Times New Roman" w:cs="Times New Roman"/>
              </w:rPr>
              <w:t xml:space="preserve">Mediterranean: mild, </w:t>
            </w:r>
            <w:r w:rsidR="009E4EE5" w:rsidRPr="005552D0">
              <w:rPr>
                <w:rFonts w:ascii="Times New Roman" w:hAnsi="Times New Roman" w:cs="Times New Roman"/>
              </w:rPr>
              <w:t>wet</w:t>
            </w:r>
            <w:r w:rsidRPr="005552D0">
              <w:rPr>
                <w:rFonts w:ascii="Times New Roman" w:hAnsi="Times New Roman" w:cs="Times New Roman"/>
              </w:rPr>
              <w:t xml:space="preserve"> winters, hot dry summers. </w:t>
            </w:r>
            <w:r w:rsidR="009E4EE5" w:rsidRPr="005552D0">
              <w:rPr>
                <w:rFonts w:ascii="Times New Roman" w:hAnsi="Times New Roman" w:cs="Times New Roman"/>
              </w:rPr>
              <w:t xml:space="preserve"> </w:t>
            </w:r>
          </w:p>
          <w:p w:rsidR="001C1BDB" w:rsidRPr="005552D0" w:rsidRDefault="009E4EE5" w:rsidP="000169F3">
            <w:pPr>
              <w:rPr>
                <w:rFonts w:ascii="Times New Roman" w:hAnsi="Times New Roman" w:cs="Times New Roman"/>
              </w:rPr>
            </w:pPr>
            <w:r w:rsidRPr="005552D0">
              <w:rPr>
                <w:rFonts w:ascii="Times New Roman" w:hAnsi="Times New Roman" w:cs="Times New Roman"/>
              </w:rPr>
              <w:t xml:space="preserve">Low hills, </w:t>
            </w:r>
            <w:r w:rsidR="007C7CA0" w:rsidRPr="005552D0">
              <w:rPr>
                <w:rFonts w:ascii="Times New Roman" w:hAnsi="Times New Roman" w:cs="Times New Roman"/>
              </w:rPr>
              <w:t xml:space="preserve">thin soils, </w:t>
            </w:r>
            <w:r w:rsidRPr="005552D0">
              <w:rPr>
                <w:rFonts w:ascii="Times New Roman" w:hAnsi="Times New Roman" w:cs="Times New Roman"/>
              </w:rPr>
              <w:t>terraced fie</w:t>
            </w:r>
            <w:r w:rsidR="0040785D" w:rsidRPr="005552D0">
              <w:rPr>
                <w:rFonts w:ascii="Times New Roman" w:hAnsi="Times New Roman" w:cs="Times New Roman"/>
              </w:rPr>
              <w:t xml:space="preserve">lds, highest point 253 metres </w:t>
            </w:r>
          </w:p>
          <w:p w:rsidR="009E4EE5" w:rsidRPr="005552D0" w:rsidRDefault="0040785D" w:rsidP="000169F3">
            <w:pPr>
              <w:rPr>
                <w:rFonts w:ascii="Times New Roman" w:hAnsi="Times New Roman" w:cs="Times New Roman"/>
              </w:rPr>
            </w:pPr>
            <w:r w:rsidRPr="005552D0">
              <w:rPr>
                <w:rFonts w:ascii="Times New Roman" w:hAnsi="Times New Roman" w:cs="Times New Roman"/>
              </w:rPr>
              <w:t>11,706</w:t>
            </w:r>
            <w:r w:rsidR="009E4EE5" w:rsidRPr="005552D0">
              <w:rPr>
                <w:rFonts w:ascii="Times New Roman" w:hAnsi="Times New Roman" w:cs="Times New Roman"/>
              </w:rPr>
              <w:t xml:space="preserve"> ha</w:t>
            </w:r>
          </w:p>
        </w:tc>
        <w:tc>
          <w:tcPr>
            <w:tcW w:w="3192" w:type="dxa"/>
          </w:tcPr>
          <w:p w:rsidR="003F6D96" w:rsidRPr="005552D0" w:rsidRDefault="007C7CA0" w:rsidP="000169F3">
            <w:pPr>
              <w:rPr>
                <w:rFonts w:ascii="Times New Roman" w:hAnsi="Times New Roman" w:cs="Times New Roman"/>
              </w:rPr>
            </w:pPr>
            <w:r w:rsidRPr="005552D0">
              <w:rPr>
                <w:rFonts w:ascii="Times New Roman" w:hAnsi="Times New Roman"/>
              </w:rPr>
              <w:t>GVA per</w:t>
            </w:r>
            <w:r w:rsidRPr="005552D0">
              <w:rPr>
                <w:rFonts w:ascii="Times New Roman" w:hAnsi="Times New Roman" w:cs="Times New Roman"/>
              </w:rPr>
              <w:t xml:space="preserve"> capita </w:t>
            </w:r>
            <w:r w:rsidRPr="005552D0">
              <w:rPr>
                <w:rStyle w:val="Strong"/>
                <w:rFonts w:ascii="Times New Roman" w:hAnsi="Times New Roman" w:cs="Times New Roman"/>
              </w:rPr>
              <w:t>€</w:t>
            </w:r>
            <w:r w:rsidR="003F6D96" w:rsidRPr="005552D0">
              <w:rPr>
                <w:rFonts w:ascii="Times New Roman" w:hAnsi="Times New Roman" w:cs="Times New Roman"/>
              </w:rPr>
              <w:t>28,518 (2012)</w:t>
            </w:r>
          </w:p>
          <w:p w:rsidR="007C7CA0" w:rsidRPr="005552D0" w:rsidRDefault="007C7CA0" w:rsidP="000169F3">
            <w:pPr>
              <w:rPr>
                <w:rFonts w:ascii="Times New Roman" w:hAnsi="Times New Roman" w:cs="Times New Roman"/>
              </w:rPr>
            </w:pPr>
            <w:r w:rsidRPr="005552D0">
              <w:rPr>
                <w:rFonts w:ascii="Times New Roman" w:hAnsi="Times New Roman" w:cs="Times New Roman"/>
              </w:rPr>
              <w:t xml:space="preserve">Temperate maritime: warm summers, cool winters. </w:t>
            </w:r>
          </w:p>
          <w:p w:rsidR="00590EFB" w:rsidRPr="005552D0" w:rsidRDefault="00590EFB" w:rsidP="000169F3">
            <w:pPr>
              <w:rPr>
                <w:rFonts w:ascii="Times New Roman" w:hAnsi="Times New Roman" w:cs="Times New Roman"/>
                <w:lang w:val="en-GB"/>
              </w:rPr>
            </w:pPr>
            <w:r w:rsidRPr="005552D0">
              <w:rPr>
                <w:rFonts w:ascii="Times New Roman" w:hAnsi="Times New Roman" w:cs="Times New Roman"/>
                <w:lang w:val="en-GB"/>
              </w:rPr>
              <w:t>Variable</w:t>
            </w:r>
            <w:r w:rsidR="00B72766" w:rsidRPr="005552D0">
              <w:rPr>
                <w:rFonts w:ascii="Times New Roman" w:hAnsi="Times New Roman" w:cs="Times New Roman"/>
                <w:lang w:val="en-GB"/>
              </w:rPr>
              <w:t xml:space="preserve"> topography and soils</w:t>
            </w:r>
            <w:r w:rsidRPr="005552D0">
              <w:rPr>
                <w:rFonts w:ascii="Times New Roman" w:hAnsi="Times New Roman" w:cs="Times New Roman"/>
                <w:lang w:val="en-GB"/>
              </w:rPr>
              <w:t>, uplands up to 1,000</w:t>
            </w:r>
            <w:r w:rsidR="005418DE" w:rsidRPr="005552D0">
              <w:rPr>
                <w:rFonts w:ascii="Times New Roman" w:hAnsi="Times New Roman" w:cs="Times New Roman"/>
                <w:lang w:val="en-GB"/>
              </w:rPr>
              <w:t xml:space="preserve"> </w:t>
            </w:r>
            <w:r w:rsidRPr="005552D0">
              <w:rPr>
                <w:rFonts w:ascii="Times New Roman" w:hAnsi="Times New Roman" w:cs="Times New Roman"/>
                <w:lang w:val="en-GB"/>
              </w:rPr>
              <w:t>m</w:t>
            </w:r>
            <w:r w:rsidR="005418DE" w:rsidRPr="005552D0">
              <w:rPr>
                <w:rFonts w:ascii="Times New Roman" w:hAnsi="Times New Roman" w:cs="Times New Roman"/>
                <w:lang w:val="en-GB"/>
              </w:rPr>
              <w:t>etres</w:t>
            </w:r>
          </w:p>
          <w:p w:rsidR="007C7CA0" w:rsidRPr="005552D0" w:rsidRDefault="007C7CA0" w:rsidP="000169F3">
            <w:pPr>
              <w:rPr>
                <w:rFonts w:ascii="Times New Roman" w:hAnsi="Times New Roman" w:cs="Times New Roman"/>
              </w:rPr>
            </w:pPr>
            <w:r w:rsidRPr="005552D0">
              <w:rPr>
                <w:rFonts w:ascii="Times New Roman" w:hAnsi="Times New Roman" w:cs="Times New Roman"/>
              </w:rPr>
              <w:t>9 million ha (UAA 2013-14)</w:t>
            </w:r>
            <w:r w:rsidRPr="005552D0">
              <w:rPr>
                <w:rFonts w:ascii="Times New Roman" w:hAnsi="Times New Roman" w:cs="Times New Roman"/>
                <w:vertAlign w:val="superscript"/>
              </w:rPr>
              <w:t>(d)</w:t>
            </w:r>
          </w:p>
        </w:tc>
      </w:tr>
      <w:tr w:rsidR="00E7214C" w:rsidRPr="0070414D" w:rsidTr="00E7214C">
        <w:tc>
          <w:tcPr>
            <w:tcW w:w="3192" w:type="dxa"/>
          </w:tcPr>
          <w:p w:rsidR="00E7214C" w:rsidRPr="0070414D" w:rsidRDefault="002E7C4E" w:rsidP="000169F3">
            <w:pPr>
              <w:jc w:val="both"/>
              <w:rPr>
                <w:rFonts w:ascii="Times New Roman" w:hAnsi="Times New Roman" w:cs="Times New Roman"/>
              </w:rPr>
            </w:pPr>
            <w:r w:rsidRPr="0070414D">
              <w:rPr>
                <w:rFonts w:ascii="Times New Roman" w:hAnsi="Times New Roman" w:cs="Times New Roman"/>
              </w:rPr>
              <w:t>Date of EU (EEC) Accession</w:t>
            </w:r>
          </w:p>
          <w:p w:rsidR="006A5491" w:rsidRPr="0070414D" w:rsidRDefault="006A5491" w:rsidP="00E65389">
            <w:pPr>
              <w:rPr>
                <w:rFonts w:ascii="Times New Roman" w:hAnsi="Times New Roman" w:cs="Times New Roman"/>
              </w:rPr>
            </w:pPr>
            <w:r w:rsidRPr="0070414D">
              <w:rPr>
                <w:rFonts w:ascii="Times New Roman" w:hAnsi="Times New Roman" w:cs="Times New Roman"/>
              </w:rPr>
              <w:t>Percentage contribution of Agriculture and fishing to Gross Value Added (at basic prices)</w:t>
            </w:r>
          </w:p>
        </w:tc>
        <w:tc>
          <w:tcPr>
            <w:tcW w:w="3192" w:type="dxa"/>
          </w:tcPr>
          <w:p w:rsidR="00E7214C" w:rsidRPr="0070414D" w:rsidRDefault="001C1BDB" w:rsidP="000169F3">
            <w:pPr>
              <w:jc w:val="both"/>
              <w:rPr>
                <w:rFonts w:ascii="Times New Roman" w:hAnsi="Times New Roman" w:cs="Times New Roman"/>
              </w:rPr>
            </w:pPr>
            <w:r w:rsidRPr="0070414D">
              <w:rPr>
                <w:rFonts w:ascii="Times New Roman" w:hAnsi="Times New Roman" w:cs="Times New Roman"/>
              </w:rPr>
              <w:t>2004</w:t>
            </w:r>
          </w:p>
          <w:p w:rsidR="006A5491" w:rsidRPr="0070414D" w:rsidRDefault="006A5491" w:rsidP="000169F3">
            <w:pPr>
              <w:jc w:val="both"/>
              <w:rPr>
                <w:rFonts w:ascii="Times New Roman" w:hAnsi="Times New Roman" w:cs="Times New Roman"/>
              </w:rPr>
            </w:pPr>
            <w:r w:rsidRPr="0070414D">
              <w:rPr>
                <w:rFonts w:ascii="Times New Roman" w:hAnsi="Times New Roman" w:cs="Times New Roman"/>
              </w:rPr>
              <w:t>1.52% (2013)</w:t>
            </w:r>
          </w:p>
          <w:p w:rsidR="006A5491" w:rsidRPr="0070414D" w:rsidRDefault="006A5491" w:rsidP="000169F3">
            <w:pPr>
              <w:jc w:val="both"/>
              <w:rPr>
                <w:rFonts w:ascii="Times New Roman" w:hAnsi="Times New Roman" w:cs="Times New Roman"/>
              </w:rPr>
            </w:pPr>
          </w:p>
        </w:tc>
        <w:tc>
          <w:tcPr>
            <w:tcW w:w="3192" w:type="dxa"/>
          </w:tcPr>
          <w:p w:rsidR="00E7214C" w:rsidRPr="0070414D" w:rsidRDefault="001C1BDB" w:rsidP="000169F3">
            <w:pPr>
              <w:rPr>
                <w:rFonts w:ascii="Times New Roman" w:hAnsi="Times New Roman" w:cs="Times New Roman"/>
              </w:rPr>
            </w:pPr>
            <w:r w:rsidRPr="0070414D">
              <w:rPr>
                <w:rFonts w:ascii="Times New Roman" w:hAnsi="Times New Roman" w:cs="Times New Roman"/>
              </w:rPr>
              <w:t>1973</w:t>
            </w:r>
          </w:p>
          <w:p w:rsidR="007C7CA0" w:rsidRPr="0070414D" w:rsidRDefault="007C7CA0" w:rsidP="000169F3">
            <w:pPr>
              <w:rPr>
                <w:rFonts w:ascii="Times New Roman" w:hAnsi="Times New Roman" w:cs="Times New Roman"/>
              </w:rPr>
            </w:pPr>
            <w:r w:rsidRPr="0070414D">
              <w:rPr>
                <w:rFonts w:ascii="Times New Roman" w:hAnsi="Times New Roman" w:cs="Times New Roman"/>
              </w:rPr>
              <w:t>0.</w:t>
            </w:r>
            <w:r w:rsidR="00633C00" w:rsidRPr="0070414D">
              <w:rPr>
                <w:rFonts w:ascii="Times New Roman" w:hAnsi="Times New Roman" w:cs="Times New Roman"/>
              </w:rPr>
              <w:t>6</w:t>
            </w:r>
            <w:r w:rsidRPr="0070414D">
              <w:rPr>
                <w:rFonts w:ascii="Times New Roman" w:hAnsi="Times New Roman" w:cs="Times New Roman"/>
              </w:rPr>
              <w:t>5</w:t>
            </w:r>
            <w:r w:rsidR="00633C00" w:rsidRPr="0070414D">
              <w:rPr>
                <w:rFonts w:ascii="Times New Roman" w:hAnsi="Times New Roman" w:cs="Times New Roman"/>
              </w:rPr>
              <w:t>% GDP (UK total 2013)</w:t>
            </w:r>
          </w:p>
        </w:tc>
      </w:tr>
    </w:tbl>
    <w:p w:rsidR="00EE7D97" w:rsidRDefault="00E7214C" w:rsidP="000169F3">
      <w:pPr>
        <w:spacing w:after="0" w:line="240" w:lineRule="auto"/>
        <w:jc w:val="both"/>
        <w:rPr>
          <w:rFonts w:ascii="Times New Roman" w:hAnsi="Times New Roman" w:cs="Times New Roman"/>
          <w:sz w:val="20"/>
          <w:szCs w:val="20"/>
        </w:rPr>
      </w:pPr>
      <w:r w:rsidRPr="0070414D">
        <w:rPr>
          <w:rFonts w:ascii="Times New Roman" w:hAnsi="Times New Roman" w:cs="Times New Roman"/>
          <w:sz w:val="24"/>
          <w:szCs w:val="24"/>
        </w:rPr>
        <w:t xml:space="preserve"> </w:t>
      </w:r>
      <w:r w:rsidR="00F36E9B" w:rsidRPr="0070414D">
        <w:rPr>
          <w:rFonts w:ascii="Times New Roman" w:hAnsi="Times New Roman" w:cs="Times New Roman"/>
          <w:sz w:val="20"/>
          <w:szCs w:val="20"/>
        </w:rPr>
        <w:t>Sources:</w:t>
      </w:r>
      <w:r w:rsidR="00F36E9B" w:rsidRPr="00EE7D97">
        <w:rPr>
          <w:rFonts w:ascii="Times New Roman" w:hAnsi="Times New Roman" w:cs="Times New Roman"/>
          <w:sz w:val="20"/>
          <w:szCs w:val="20"/>
        </w:rPr>
        <w:t xml:space="preserve"> </w:t>
      </w:r>
    </w:p>
    <w:p w:rsidR="007C7CA0" w:rsidRPr="000169F3" w:rsidRDefault="0040785D" w:rsidP="000169F3">
      <w:pPr>
        <w:spacing w:after="0" w:line="240" w:lineRule="auto"/>
        <w:jc w:val="both"/>
        <w:rPr>
          <w:rFonts w:ascii="Times New Roman" w:hAnsi="Times New Roman" w:cs="Times New Roman"/>
          <w:sz w:val="24"/>
          <w:szCs w:val="24"/>
        </w:rPr>
      </w:pPr>
      <w:r w:rsidRPr="0040785D">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00F36E9B" w:rsidRPr="00EE7D97">
        <w:rPr>
          <w:rFonts w:ascii="Times New Roman" w:hAnsi="Times New Roman" w:cs="Times New Roman"/>
          <w:sz w:val="20"/>
          <w:szCs w:val="20"/>
        </w:rPr>
        <w:t>Malta in figures, National Statistical Office, Valetta, Malta</w:t>
      </w:r>
      <w:r w:rsidR="000169F3">
        <w:rPr>
          <w:rFonts w:ascii="Times New Roman" w:hAnsi="Times New Roman" w:cs="Times New Roman"/>
          <w:sz w:val="24"/>
          <w:szCs w:val="24"/>
        </w:rPr>
        <w:t xml:space="preserve"> </w:t>
      </w:r>
      <w:r w:rsidRPr="005C4017">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005C4017" w:rsidRPr="00EE7D97">
        <w:rPr>
          <w:rFonts w:ascii="Times New Roman" w:hAnsi="Times New Roman" w:cs="Times New Roman"/>
          <w:sz w:val="20"/>
          <w:szCs w:val="20"/>
        </w:rPr>
        <w:t>UK Office for National Statisitics (</w:t>
      </w:r>
      <w:hyperlink r:id="rId10" w:history="1">
        <w:r w:rsidR="005C4017" w:rsidRPr="00EE7D97">
          <w:rPr>
            <w:rStyle w:val="Hyperlink"/>
            <w:rFonts w:ascii="Times New Roman" w:hAnsi="Times New Roman" w:cs="Times New Roman"/>
            <w:sz w:val="20"/>
            <w:szCs w:val="20"/>
          </w:rPr>
          <w:t>http://ons.gov.uk/ons</w:t>
        </w:r>
      </w:hyperlink>
      <w:r w:rsidR="005C4017" w:rsidRPr="00EE7D97">
        <w:rPr>
          <w:rFonts w:ascii="Times New Roman" w:hAnsi="Times New Roman" w:cs="Times New Roman"/>
          <w:sz w:val="20"/>
          <w:szCs w:val="20"/>
        </w:rPr>
        <w:t>)</w:t>
      </w:r>
      <w:r w:rsidR="000169F3">
        <w:rPr>
          <w:rFonts w:ascii="Times New Roman" w:hAnsi="Times New Roman" w:cs="Times New Roman"/>
          <w:sz w:val="20"/>
          <w:szCs w:val="20"/>
        </w:rPr>
        <w:t xml:space="preserve"> </w:t>
      </w:r>
      <w:r w:rsidRPr="0040785D">
        <w:rPr>
          <w:rFonts w:ascii="Times New Roman" w:hAnsi="Times New Roman" w:cs="Times New Roman"/>
          <w:vertAlign w:val="superscript"/>
        </w:rPr>
        <w:t>(c)</w:t>
      </w:r>
      <w:r>
        <w:rPr>
          <w:rFonts w:ascii="Times New Roman" w:hAnsi="Times New Roman" w:cs="Times New Roman"/>
          <w:vertAlign w:val="superscript"/>
        </w:rPr>
        <w:t xml:space="preserve"> </w:t>
      </w:r>
      <w:r w:rsidRPr="00EE7D97">
        <w:rPr>
          <w:rFonts w:ascii="Times New Roman" w:hAnsi="Times New Roman" w:cs="Times New Roman"/>
          <w:sz w:val="20"/>
          <w:szCs w:val="20"/>
        </w:rPr>
        <w:t>Factsheet on 2014-2020 Rural Development Programme of England</w:t>
      </w:r>
      <w:r w:rsidR="000169F3">
        <w:rPr>
          <w:rFonts w:ascii="Times New Roman" w:hAnsi="Times New Roman" w:cs="Times New Roman"/>
          <w:sz w:val="24"/>
          <w:szCs w:val="24"/>
        </w:rPr>
        <w:t xml:space="preserve"> </w:t>
      </w:r>
      <w:r w:rsidR="007C7CA0" w:rsidRPr="007C7CA0">
        <w:rPr>
          <w:rFonts w:ascii="Times New Roman" w:hAnsi="Times New Roman" w:cs="Times New Roman"/>
          <w:vertAlign w:val="superscript"/>
        </w:rPr>
        <w:t>(d)</w:t>
      </w:r>
      <w:r w:rsidR="007C7CA0">
        <w:rPr>
          <w:rFonts w:ascii="Times New Roman" w:hAnsi="Times New Roman" w:cs="Times New Roman"/>
          <w:vertAlign w:val="superscript"/>
        </w:rPr>
        <w:t xml:space="preserve"> </w:t>
      </w:r>
      <w:r w:rsidR="007C7CA0" w:rsidRPr="00EE7D97">
        <w:rPr>
          <w:rFonts w:ascii="Times New Roman" w:hAnsi="Times New Roman" w:cs="Times New Roman"/>
          <w:sz w:val="20"/>
          <w:szCs w:val="20"/>
        </w:rPr>
        <w:t>Defra Farming Statistics, Final Land Use, Livestock Populations and Agricultural Workforce, National Statistics Office.</w:t>
      </w:r>
      <w:r w:rsidR="007C7CA0">
        <w:rPr>
          <w:rFonts w:ascii="Times New Roman" w:hAnsi="Times New Roman" w:cs="Times New Roman"/>
        </w:rPr>
        <w:t xml:space="preserve">  </w:t>
      </w:r>
    </w:p>
    <w:p w:rsidR="007C7CA0" w:rsidRPr="007C7CA0" w:rsidRDefault="007C7CA0" w:rsidP="007C7CA0">
      <w:pPr>
        <w:spacing w:after="0" w:line="360" w:lineRule="auto"/>
        <w:jc w:val="both"/>
        <w:rPr>
          <w:rFonts w:ascii="Times New Roman" w:hAnsi="Times New Roman" w:cs="Times New Roman"/>
          <w:sz w:val="24"/>
          <w:szCs w:val="24"/>
        </w:rPr>
      </w:pPr>
    </w:p>
    <w:p w:rsidR="00BA55F9" w:rsidRDefault="00BA55F9" w:rsidP="008D745F">
      <w:pPr>
        <w:spacing w:after="0" w:line="360" w:lineRule="auto"/>
        <w:jc w:val="both"/>
      </w:pPr>
    </w:p>
    <w:p w:rsidR="003E7686" w:rsidRPr="00BC4F5B" w:rsidRDefault="00BC4F5B" w:rsidP="00BC4F5B">
      <w:pPr>
        <w:pStyle w:val="ListParagraph"/>
        <w:numPr>
          <w:ilvl w:val="1"/>
          <w:numId w:val="18"/>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Evaluating the </w:t>
      </w:r>
      <w:r w:rsidR="003E7686" w:rsidRPr="00BC4F5B">
        <w:rPr>
          <w:rFonts w:ascii="Times New Roman" w:hAnsi="Times New Roman" w:cs="Times New Roman"/>
          <w:b/>
          <w:sz w:val="24"/>
          <w:szCs w:val="24"/>
        </w:rPr>
        <w:t>England RDP</w:t>
      </w:r>
      <w:r w:rsidR="00BD3E8D" w:rsidRPr="00BC4F5B">
        <w:rPr>
          <w:rFonts w:ascii="Times New Roman" w:hAnsi="Times New Roman" w:cs="Times New Roman"/>
          <w:b/>
          <w:sz w:val="24"/>
          <w:szCs w:val="24"/>
        </w:rPr>
        <w:t>,</w:t>
      </w:r>
      <w:r w:rsidR="003E7686" w:rsidRPr="00BC4F5B">
        <w:rPr>
          <w:rFonts w:ascii="Times New Roman" w:hAnsi="Times New Roman" w:cs="Times New Roman"/>
          <w:b/>
          <w:sz w:val="24"/>
          <w:szCs w:val="24"/>
        </w:rPr>
        <w:t xml:space="preserve"> 2007-13</w:t>
      </w:r>
    </w:p>
    <w:p w:rsidR="00AB6F47" w:rsidRDefault="00E86570" w:rsidP="008D74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England is the largest of the UK’s four Regions, with more than </w:t>
      </w:r>
      <w:r w:rsidR="00B72766">
        <w:rPr>
          <w:rFonts w:ascii="Times New Roman" w:hAnsi="Times New Roman" w:cs="Times New Roman"/>
          <w:sz w:val="24"/>
          <w:szCs w:val="24"/>
        </w:rPr>
        <w:t>twenty</w:t>
      </w:r>
      <w:r>
        <w:rPr>
          <w:rFonts w:ascii="Times New Roman" w:hAnsi="Times New Roman" w:cs="Times New Roman"/>
          <w:sz w:val="24"/>
          <w:szCs w:val="24"/>
        </w:rPr>
        <w:t xml:space="preserve"> years’ experience of designing and delivering EU-funded rural programmes</w:t>
      </w:r>
      <w:r w:rsidR="00B72766">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B72766">
        <w:rPr>
          <w:rFonts w:ascii="Times New Roman" w:hAnsi="Times New Roman" w:cs="Times New Roman"/>
          <w:sz w:val="24"/>
          <w:szCs w:val="24"/>
        </w:rPr>
        <w:t>T</w:t>
      </w:r>
      <w:r w:rsidR="000403BD">
        <w:rPr>
          <w:rFonts w:ascii="Times New Roman" w:hAnsi="Times New Roman" w:cs="Times New Roman"/>
          <w:sz w:val="24"/>
          <w:szCs w:val="24"/>
        </w:rPr>
        <w:t>he 2007-13</w:t>
      </w:r>
      <w:r w:rsidR="00517547" w:rsidRPr="00517547">
        <w:rPr>
          <w:rFonts w:ascii="Times New Roman" w:hAnsi="Times New Roman" w:cs="Times New Roman"/>
          <w:sz w:val="24"/>
          <w:szCs w:val="24"/>
        </w:rPr>
        <w:t xml:space="preserve"> </w:t>
      </w:r>
      <w:r w:rsidR="00E46184">
        <w:rPr>
          <w:rFonts w:ascii="Times New Roman" w:hAnsi="Times New Roman" w:cs="Times New Roman"/>
          <w:sz w:val="24"/>
          <w:szCs w:val="24"/>
        </w:rPr>
        <w:t xml:space="preserve">rural development programme </w:t>
      </w:r>
      <w:r w:rsidR="00394AEB">
        <w:rPr>
          <w:rFonts w:ascii="Times New Roman" w:hAnsi="Times New Roman" w:cs="Times New Roman"/>
          <w:sz w:val="24"/>
          <w:szCs w:val="24"/>
        </w:rPr>
        <w:t>for England</w:t>
      </w:r>
      <w:r w:rsidR="00517547" w:rsidRPr="00517547">
        <w:rPr>
          <w:rFonts w:ascii="Times New Roman" w:hAnsi="Times New Roman" w:cs="Times New Roman"/>
          <w:sz w:val="24"/>
          <w:szCs w:val="24"/>
        </w:rPr>
        <w:t xml:space="preserve"> </w:t>
      </w:r>
      <w:r w:rsidR="001E6CEB">
        <w:rPr>
          <w:rFonts w:ascii="Times New Roman" w:hAnsi="Times New Roman" w:cs="Times New Roman"/>
          <w:sz w:val="24"/>
          <w:szCs w:val="24"/>
        </w:rPr>
        <w:t xml:space="preserve">(RDPE) </w:t>
      </w:r>
      <w:r w:rsidR="00B72766">
        <w:rPr>
          <w:rFonts w:ascii="Times New Roman" w:hAnsi="Times New Roman" w:cs="Times New Roman"/>
          <w:sz w:val="24"/>
          <w:szCs w:val="24"/>
        </w:rPr>
        <w:t>was characterized by two distinct parts:</w:t>
      </w:r>
      <w:r w:rsidR="001E6CEB">
        <w:rPr>
          <w:rFonts w:ascii="Times New Roman" w:hAnsi="Times New Roman" w:cs="Times New Roman"/>
          <w:sz w:val="24"/>
          <w:szCs w:val="24"/>
        </w:rPr>
        <w:t xml:space="preserve"> </w:t>
      </w:r>
      <w:r w:rsidR="000403BD">
        <w:rPr>
          <w:rFonts w:ascii="Times New Roman" w:hAnsi="Times New Roman" w:cs="Times New Roman"/>
          <w:sz w:val="24"/>
          <w:szCs w:val="24"/>
        </w:rPr>
        <w:t>the</w:t>
      </w:r>
      <w:r w:rsidR="00517547">
        <w:rPr>
          <w:rFonts w:ascii="Times New Roman" w:hAnsi="Times New Roman" w:cs="Times New Roman"/>
          <w:sz w:val="24"/>
          <w:szCs w:val="24"/>
        </w:rPr>
        <w:t xml:space="preserve"> ‘socio-economic’ </w:t>
      </w:r>
      <w:r w:rsidR="00E46184">
        <w:rPr>
          <w:rFonts w:ascii="Times New Roman" w:hAnsi="Times New Roman" w:cs="Times New Roman"/>
          <w:sz w:val="24"/>
          <w:szCs w:val="24"/>
        </w:rPr>
        <w:t>element</w:t>
      </w:r>
      <w:r w:rsidR="00E46184" w:rsidRPr="00517547">
        <w:rPr>
          <w:rFonts w:ascii="Times New Roman" w:hAnsi="Times New Roman" w:cs="Times New Roman"/>
          <w:sz w:val="24"/>
          <w:szCs w:val="24"/>
        </w:rPr>
        <w:t xml:space="preserve">s of the RDP </w:t>
      </w:r>
      <w:r w:rsidR="00E46184">
        <w:rPr>
          <w:rFonts w:ascii="Times New Roman" w:hAnsi="Times New Roman" w:cs="Times New Roman"/>
          <w:sz w:val="24"/>
          <w:szCs w:val="24"/>
        </w:rPr>
        <w:t>(Axes 1</w:t>
      </w:r>
      <w:r w:rsidR="00CD4504">
        <w:rPr>
          <w:rFonts w:ascii="Times New Roman" w:hAnsi="Times New Roman" w:cs="Times New Roman"/>
          <w:sz w:val="24"/>
          <w:szCs w:val="24"/>
        </w:rPr>
        <w:t xml:space="preserve"> and</w:t>
      </w:r>
      <w:r w:rsidR="00E46184">
        <w:rPr>
          <w:rFonts w:ascii="Times New Roman" w:hAnsi="Times New Roman" w:cs="Times New Roman"/>
          <w:sz w:val="24"/>
          <w:szCs w:val="24"/>
        </w:rPr>
        <w:t xml:space="preserve"> 3</w:t>
      </w:r>
      <w:r w:rsidR="003F7647">
        <w:rPr>
          <w:rFonts w:ascii="Times New Roman" w:hAnsi="Times New Roman" w:cs="Times New Roman"/>
          <w:sz w:val="24"/>
          <w:szCs w:val="24"/>
        </w:rPr>
        <w:t>)</w:t>
      </w:r>
      <w:r w:rsidR="00E46184">
        <w:rPr>
          <w:rFonts w:ascii="Times New Roman" w:hAnsi="Times New Roman" w:cs="Times New Roman"/>
          <w:sz w:val="24"/>
          <w:szCs w:val="24"/>
        </w:rPr>
        <w:t xml:space="preserve"> were delivered separately from the much larger agri-environmental</w:t>
      </w:r>
      <w:r w:rsidR="00CB6B09">
        <w:rPr>
          <w:rFonts w:ascii="Times New Roman" w:hAnsi="Times New Roman" w:cs="Times New Roman"/>
          <w:sz w:val="24"/>
          <w:szCs w:val="24"/>
        </w:rPr>
        <w:t xml:space="preserve"> element</w:t>
      </w:r>
      <w:r w:rsidR="00E46184">
        <w:rPr>
          <w:rFonts w:ascii="Times New Roman" w:hAnsi="Times New Roman" w:cs="Times New Roman"/>
          <w:sz w:val="24"/>
          <w:szCs w:val="24"/>
        </w:rPr>
        <w:t xml:space="preserve"> (Axis </w:t>
      </w:r>
      <w:r w:rsidR="00CD4504">
        <w:rPr>
          <w:rFonts w:ascii="Times New Roman" w:hAnsi="Times New Roman" w:cs="Times New Roman"/>
          <w:sz w:val="24"/>
          <w:szCs w:val="24"/>
        </w:rPr>
        <w:t>(</w:t>
      </w:r>
      <w:r w:rsidR="00E46184">
        <w:rPr>
          <w:rFonts w:ascii="Times New Roman" w:hAnsi="Times New Roman" w:cs="Times New Roman"/>
          <w:sz w:val="24"/>
          <w:szCs w:val="24"/>
        </w:rPr>
        <w:t>2</w:t>
      </w:r>
      <w:r w:rsidR="00CD4504">
        <w:rPr>
          <w:rFonts w:ascii="Times New Roman" w:hAnsi="Times New Roman" w:cs="Times New Roman"/>
          <w:sz w:val="24"/>
          <w:szCs w:val="24"/>
        </w:rPr>
        <w:t>)</w:t>
      </w:r>
      <w:r w:rsidR="00B72766">
        <w:rPr>
          <w:rFonts w:ascii="Times New Roman" w:hAnsi="Times New Roman" w:cs="Times New Roman"/>
          <w:sz w:val="24"/>
          <w:szCs w:val="24"/>
        </w:rPr>
        <w:t>.</w:t>
      </w:r>
      <w:r w:rsidR="00394AEB">
        <w:rPr>
          <w:rFonts w:ascii="Times New Roman" w:hAnsi="Times New Roman" w:cs="Times New Roman"/>
          <w:sz w:val="24"/>
          <w:szCs w:val="24"/>
        </w:rPr>
        <w:t xml:space="preserve"> </w:t>
      </w:r>
      <w:r w:rsidR="00CD4504">
        <w:rPr>
          <w:rFonts w:ascii="Times New Roman" w:hAnsi="Times New Roman" w:cs="Times New Roman"/>
          <w:sz w:val="24"/>
          <w:szCs w:val="24"/>
        </w:rPr>
        <w:t>The socio-economic axes, seeking to i</w:t>
      </w:r>
      <w:r w:rsidR="00D52698" w:rsidRPr="00D52698">
        <w:rPr>
          <w:rFonts w:ascii="Times New Roman" w:hAnsi="Times New Roman" w:cs="Times New Roman"/>
          <w:sz w:val="24"/>
          <w:szCs w:val="24"/>
        </w:rPr>
        <w:t>mprov</w:t>
      </w:r>
      <w:r w:rsidR="00CD4504">
        <w:rPr>
          <w:rFonts w:ascii="Times New Roman" w:hAnsi="Times New Roman" w:cs="Times New Roman"/>
          <w:sz w:val="24"/>
          <w:szCs w:val="24"/>
        </w:rPr>
        <w:t>e</w:t>
      </w:r>
      <w:r w:rsidR="00CB6B09">
        <w:rPr>
          <w:rFonts w:ascii="Times New Roman" w:hAnsi="Times New Roman" w:cs="Times New Roman"/>
          <w:sz w:val="24"/>
          <w:szCs w:val="24"/>
        </w:rPr>
        <w:t xml:space="preserve"> primary sector competitiveness and rural economic diversification and quality of life respectively</w:t>
      </w:r>
      <w:r w:rsidR="00701D81">
        <w:rPr>
          <w:rFonts w:ascii="Times New Roman" w:hAnsi="Times New Roman" w:cs="Times New Roman"/>
          <w:sz w:val="24"/>
          <w:szCs w:val="24"/>
        </w:rPr>
        <w:t>,</w:t>
      </w:r>
      <w:r w:rsidR="00CB6B09">
        <w:rPr>
          <w:rFonts w:ascii="Times New Roman" w:hAnsi="Times New Roman" w:cs="Times New Roman"/>
          <w:sz w:val="24"/>
          <w:szCs w:val="24"/>
        </w:rPr>
        <w:t xml:space="preserve"> were subject to </w:t>
      </w:r>
      <w:r w:rsidR="00517547" w:rsidRPr="00517547">
        <w:rPr>
          <w:rFonts w:ascii="Times New Roman" w:hAnsi="Times New Roman" w:cs="Times New Roman"/>
          <w:sz w:val="24"/>
          <w:szCs w:val="24"/>
        </w:rPr>
        <w:t>two distinct phases of delivery</w:t>
      </w:r>
      <w:r w:rsidR="00E46184">
        <w:rPr>
          <w:rFonts w:ascii="Times New Roman" w:hAnsi="Times New Roman" w:cs="Times New Roman"/>
          <w:sz w:val="24"/>
          <w:szCs w:val="24"/>
        </w:rPr>
        <w:t>:</w:t>
      </w:r>
      <w:r w:rsidR="00CB6B09">
        <w:rPr>
          <w:rFonts w:ascii="Times New Roman" w:hAnsi="Times New Roman" w:cs="Times New Roman"/>
          <w:sz w:val="24"/>
          <w:szCs w:val="24"/>
        </w:rPr>
        <w:t xml:space="preserve"> </w:t>
      </w:r>
      <w:r w:rsidR="00E46184">
        <w:rPr>
          <w:rFonts w:ascii="Times New Roman" w:hAnsi="Times New Roman" w:cs="Times New Roman"/>
          <w:sz w:val="24"/>
          <w:szCs w:val="24"/>
        </w:rPr>
        <w:t>f</w:t>
      </w:r>
      <w:r w:rsidR="003D6BCC" w:rsidRPr="007B1A07">
        <w:rPr>
          <w:rFonts w:ascii="Times New Roman" w:hAnsi="Times New Roman" w:cs="Times New Roman"/>
          <w:sz w:val="24"/>
          <w:szCs w:val="24"/>
        </w:rPr>
        <w:t>rom 2007</w:t>
      </w:r>
      <w:r w:rsidR="001B78D8">
        <w:rPr>
          <w:rFonts w:ascii="Times New Roman" w:hAnsi="Times New Roman" w:cs="Times New Roman"/>
          <w:sz w:val="24"/>
          <w:szCs w:val="24"/>
        </w:rPr>
        <w:t xml:space="preserve"> to </w:t>
      </w:r>
      <w:r w:rsidR="003D6BCC" w:rsidRPr="007B1A07">
        <w:rPr>
          <w:rFonts w:ascii="Times New Roman" w:hAnsi="Times New Roman" w:cs="Times New Roman"/>
          <w:sz w:val="24"/>
          <w:szCs w:val="24"/>
        </w:rPr>
        <w:t xml:space="preserve">2010 </w:t>
      </w:r>
      <w:r w:rsidR="00CB6B09">
        <w:rPr>
          <w:rFonts w:ascii="Times New Roman" w:hAnsi="Times New Roman" w:cs="Times New Roman"/>
          <w:sz w:val="24"/>
          <w:szCs w:val="24"/>
        </w:rPr>
        <w:t xml:space="preserve">they </w:t>
      </w:r>
      <w:r w:rsidR="003D6BCC" w:rsidRPr="007B1A07">
        <w:rPr>
          <w:rFonts w:ascii="Times New Roman" w:hAnsi="Times New Roman" w:cs="Times New Roman"/>
          <w:sz w:val="24"/>
          <w:szCs w:val="24"/>
        </w:rPr>
        <w:t>w</w:t>
      </w:r>
      <w:r w:rsidR="007B1A07" w:rsidRPr="007B1A07">
        <w:rPr>
          <w:rFonts w:ascii="Times New Roman" w:hAnsi="Times New Roman" w:cs="Times New Roman"/>
          <w:sz w:val="24"/>
          <w:szCs w:val="24"/>
        </w:rPr>
        <w:t>ere</w:t>
      </w:r>
      <w:r w:rsidR="003D6BCC" w:rsidRPr="007B1A07">
        <w:rPr>
          <w:rFonts w:ascii="Times New Roman" w:hAnsi="Times New Roman" w:cs="Times New Roman"/>
          <w:sz w:val="24"/>
          <w:szCs w:val="24"/>
        </w:rPr>
        <w:t xml:space="preserve"> designed in outline by </w:t>
      </w:r>
      <w:r w:rsidR="00BD3E8D">
        <w:rPr>
          <w:rFonts w:ascii="Times New Roman" w:hAnsi="Times New Roman" w:cs="Times New Roman"/>
          <w:sz w:val="24"/>
          <w:szCs w:val="24"/>
        </w:rPr>
        <w:t xml:space="preserve">the </w:t>
      </w:r>
      <w:r w:rsidR="001B78D8">
        <w:rPr>
          <w:rFonts w:ascii="Times New Roman" w:hAnsi="Times New Roman" w:cs="Times New Roman"/>
          <w:sz w:val="24"/>
          <w:szCs w:val="24"/>
        </w:rPr>
        <w:t>M</w:t>
      </w:r>
      <w:r w:rsidR="00422053">
        <w:rPr>
          <w:rFonts w:ascii="Times New Roman" w:hAnsi="Times New Roman" w:cs="Times New Roman"/>
          <w:sz w:val="24"/>
          <w:szCs w:val="24"/>
        </w:rPr>
        <w:t xml:space="preserve">anaging </w:t>
      </w:r>
      <w:r w:rsidR="001B78D8">
        <w:rPr>
          <w:rFonts w:ascii="Times New Roman" w:hAnsi="Times New Roman" w:cs="Times New Roman"/>
          <w:sz w:val="24"/>
          <w:szCs w:val="24"/>
        </w:rPr>
        <w:t>A</w:t>
      </w:r>
      <w:r w:rsidR="00422053">
        <w:rPr>
          <w:rFonts w:ascii="Times New Roman" w:hAnsi="Times New Roman" w:cs="Times New Roman"/>
          <w:sz w:val="24"/>
          <w:szCs w:val="24"/>
        </w:rPr>
        <w:t>uthority</w:t>
      </w:r>
      <w:r w:rsidR="00BD3E8D">
        <w:rPr>
          <w:rFonts w:ascii="Times New Roman" w:hAnsi="Times New Roman" w:cs="Times New Roman"/>
          <w:sz w:val="24"/>
          <w:szCs w:val="24"/>
        </w:rPr>
        <w:t xml:space="preserve"> (</w:t>
      </w:r>
      <w:r w:rsidR="003D6BCC" w:rsidRPr="007B1A07">
        <w:rPr>
          <w:rFonts w:ascii="Times New Roman" w:hAnsi="Times New Roman" w:cs="Times New Roman"/>
          <w:sz w:val="24"/>
          <w:szCs w:val="24"/>
        </w:rPr>
        <w:t>Defra</w:t>
      </w:r>
      <w:r w:rsidR="001B78D8">
        <w:rPr>
          <w:rFonts w:ascii="Times New Roman" w:hAnsi="Times New Roman" w:cs="Times New Roman"/>
          <w:sz w:val="24"/>
          <w:szCs w:val="24"/>
        </w:rPr>
        <w:t xml:space="preserve"> – the government Department for Environment, Food and Rural Affairs</w:t>
      </w:r>
      <w:r w:rsidR="00BD3E8D">
        <w:rPr>
          <w:rFonts w:ascii="Times New Roman" w:hAnsi="Times New Roman" w:cs="Times New Roman"/>
          <w:sz w:val="24"/>
          <w:szCs w:val="24"/>
        </w:rPr>
        <w:t>)</w:t>
      </w:r>
      <w:r w:rsidR="001E6CEB">
        <w:rPr>
          <w:rFonts w:ascii="Times New Roman" w:hAnsi="Times New Roman" w:cs="Times New Roman"/>
          <w:sz w:val="24"/>
          <w:szCs w:val="24"/>
        </w:rPr>
        <w:t xml:space="preserve"> but </w:t>
      </w:r>
      <w:r w:rsidR="003D6BCC" w:rsidRPr="007B1A07">
        <w:rPr>
          <w:rFonts w:ascii="Times New Roman" w:hAnsi="Times New Roman" w:cs="Times New Roman"/>
          <w:sz w:val="24"/>
          <w:szCs w:val="24"/>
        </w:rPr>
        <w:t xml:space="preserve">tailored </w:t>
      </w:r>
      <w:r w:rsidR="00CD4504">
        <w:rPr>
          <w:rFonts w:ascii="Times New Roman" w:hAnsi="Times New Roman" w:cs="Times New Roman"/>
          <w:sz w:val="24"/>
          <w:szCs w:val="24"/>
        </w:rPr>
        <w:t>and delivered by</w:t>
      </w:r>
      <w:r w:rsidR="003D6BCC" w:rsidRPr="007B1A07">
        <w:rPr>
          <w:rFonts w:ascii="Times New Roman" w:hAnsi="Times New Roman" w:cs="Times New Roman"/>
          <w:sz w:val="24"/>
          <w:szCs w:val="24"/>
        </w:rPr>
        <w:t xml:space="preserve"> eight Regional Development Agencies </w:t>
      </w:r>
      <w:r w:rsidR="0050419F">
        <w:rPr>
          <w:rFonts w:ascii="Times New Roman" w:hAnsi="Times New Roman" w:cs="Times New Roman"/>
          <w:sz w:val="24"/>
          <w:szCs w:val="24"/>
        </w:rPr>
        <w:t xml:space="preserve">(RDAs) </w:t>
      </w:r>
      <w:r w:rsidR="003D6BCC" w:rsidRPr="007B1A07">
        <w:rPr>
          <w:rFonts w:ascii="Times New Roman" w:hAnsi="Times New Roman" w:cs="Times New Roman"/>
          <w:sz w:val="24"/>
          <w:szCs w:val="24"/>
        </w:rPr>
        <w:t>and the Forestry Commission’s regional offices in England. Regional Implementation Plans (RIP</w:t>
      </w:r>
      <w:r w:rsidR="00B1528D">
        <w:rPr>
          <w:rFonts w:ascii="Times New Roman" w:hAnsi="Times New Roman" w:cs="Times New Roman"/>
          <w:sz w:val="24"/>
          <w:szCs w:val="24"/>
        </w:rPr>
        <w:t>s</w:t>
      </w:r>
      <w:r w:rsidR="003D6BCC" w:rsidRPr="007B1A07">
        <w:rPr>
          <w:rFonts w:ascii="Times New Roman" w:hAnsi="Times New Roman" w:cs="Times New Roman"/>
          <w:sz w:val="24"/>
          <w:szCs w:val="24"/>
        </w:rPr>
        <w:t>)</w:t>
      </w:r>
      <w:r w:rsidR="00422053">
        <w:rPr>
          <w:rFonts w:ascii="Times New Roman" w:hAnsi="Times New Roman" w:cs="Times New Roman"/>
          <w:sz w:val="24"/>
          <w:szCs w:val="24"/>
        </w:rPr>
        <w:t xml:space="preserve"> set out</w:t>
      </w:r>
      <w:r w:rsidR="003D6BCC" w:rsidRPr="007B1A07">
        <w:rPr>
          <w:rFonts w:ascii="Times New Roman" w:hAnsi="Times New Roman" w:cs="Times New Roman"/>
          <w:sz w:val="24"/>
          <w:szCs w:val="24"/>
        </w:rPr>
        <w:t xml:space="preserve"> specific aims and targets</w:t>
      </w:r>
      <w:r w:rsidR="001B78D8">
        <w:rPr>
          <w:rFonts w:ascii="Times New Roman" w:hAnsi="Times New Roman" w:cs="Times New Roman"/>
          <w:sz w:val="24"/>
          <w:szCs w:val="24"/>
        </w:rPr>
        <w:t xml:space="preserve"> for each region</w:t>
      </w:r>
      <w:r w:rsidR="003D6BCC" w:rsidRPr="007B1A07">
        <w:rPr>
          <w:rFonts w:ascii="Times New Roman" w:hAnsi="Times New Roman" w:cs="Times New Roman"/>
          <w:sz w:val="24"/>
          <w:szCs w:val="24"/>
        </w:rPr>
        <w:t xml:space="preserve"> </w:t>
      </w:r>
      <w:r w:rsidR="001B78D8">
        <w:rPr>
          <w:rFonts w:ascii="Times New Roman" w:hAnsi="Times New Roman" w:cs="Times New Roman"/>
          <w:sz w:val="24"/>
          <w:szCs w:val="24"/>
        </w:rPr>
        <w:t xml:space="preserve">but also </w:t>
      </w:r>
      <w:r w:rsidR="00AE4D8C">
        <w:rPr>
          <w:rFonts w:ascii="Times New Roman" w:hAnsi="Times New Roman" w:cs="Times New Roman"/>
          <w:sz w:val="24"/>
          <w:szCs w:val="24"/>
        </w:rPr>
        <w:t>had</w:t>
      </w:r>
      <w:r w:rsidR="001B78D8">
        <w:rPr>
          <w:rFonts w:ascii="Times New Roman" w:hAnsi="Times New Roman" w:cs="Times New Roman"/>
          <w:sz w:val="24"/>
          <w:szCs w:val="24"/>
        </w:rPr>
        <w:t xml:space="preserve"> to </w:t>
      </w:r>
      <w:r w:rsidR="003D6BCC" w:rsidRPr="007B1A07">
        <w:rPr>
          <w:rFonts w:ascii="Times New Roman" w:hAnsi="Times New Roman" w:cs="Times New Roman"/>
          <w:sz w:val="24"/>
          <w:szCs w:val="24"/>
        </w:rPr>
        <w:t>meet</w:t>
      </w:r>
      <w:r w:rsidR="001B78D8">
        <w:rPr>
          <w:rFonts w:ascii="Times New Roman" w:hAnsi="Times New Roman" w:cs="Times New Roman"/>
          <w:sz w:val="24"/>
          <w:szCs w:val="24"/>
        </w:rPr>
        <w:t xml:space="preserve"> </w:t>
      </w:r>
      <w:r w:rsidR="003D6BCC" w:rsidRPr="007B1A07">
        <w:rPr>
          <w:rFonts w:ascii="Times New Roman" w:hAnsi="Times New Roman" w:cs="Times New Roman"/>
          <w:sz w:val="24"/>
          <w:szCs w:val="24"/>
        </w:rPr>
        <w:t xml:space="preserve">key national </w:t>
      </w:r>
      <w:r w:rsidR="001E6CEB">
        <w:rPr>
          <w:rFonts w:ascii="Times New Roman" w:hAnsi="Times New Roman" w:cs="Times New Roman"/>
          <w:sz w:val="24"/>
          <w:szCs w:val="24"/>
        </w:rPr>
        <w:t xml:space="preserve">RDPE </w:t>
      </w:r>
      <w:r w:rsidR="001B78D8">
        <w:rPr>
          <w:rFonts w:ascii="Times New Roman" w:hAnsi="Times New Roman" w:cs="Times New Roman"/>
          <w:sz w:val="24"/>
          <w:szCs w:val="24"/>
        </w:rPr>
        <w:t xml:space="preserve">strategic </w:t>
      </w:r>
      <w:r w:rsidR="003D6BCC" w:rsidRPr="007B1A07">
        <w:rPr>
          <w:rFonts w:ascii="Times New Roman" w:hAnsi="Times New Roman" w:cs="Times New Roman"/>
          <w:sz w:val="24"/>
          <w:szCs w:val="24"/>
        </w:rPr>
        <w:t>goals</w:t>
      </w:r>
      <w:r w:rsidR="001B78D8">
        <w:rPr>
          <w:rFonts w:ascii="Times New Roman" w:hAnsi="Times New Roman" w:cs="Times New Roman"/>
          <w:sz w:val="24"/>
          <w:szCs w:val="24"/>
        </w:rPr>
        <w:t xml:space="preserve"> </w:t>
      </w:r>
      <w:r w:rsidR="00AE4D8C">
        <w:rPr>
          <w:rFonts w:ascii="Times New Roman" w:hAnsi="Times New Roman" w:cs="Times New Roman"/>
          <w:sz w:val="24"/>
          <w:szCs w:val="24"/>
        </w:rPr>
        <w:t>which prioritised</w:t>
      </w:r>
      <w:r w:rsidR="0030567A">
        <w:rPr>
          <w:rFonts w:ascii="Times New Roman" w:hAnsi="Times New Roman" w:cs="Times New Roman"/>
          <w:sz w:val="24"/>
          <w:szCs w:val="24"/>
        </w:rPr>
        <w:t xml:space="preserve"> growth and job creation</w:t>
      </w:r>
      <w:r w:rsidR="003D6BCC" w:rsidRPr="007B1A07">
        <w:rPr>
          <w:rFonts w:ascii="Times New Roman" w:hAnsi="Times New Roman" w:cs="Times New Roman"/>
          <w:sz w:val="24"/>
          <w:szCs w:val="24"/>
        </w:rPr>
        <w:t>.</w:t>
      </w:r>
      <w:r w:rsidR="000403BD">
        <w:rPr>
          <w:rFonts w:ascii="Times New Roman" w:hAnsi="Times New Roman" w:cs="Times New Roman"/>
          <w:sz w:val="24"/>
          <w:szCs w:val="24"/>
        </w:rPr>
        <w:t xml:space="preserve"> </w:t>
      </w:r>
      <w:r w:rsidR="00701D81">
        <w:rPr>
          <w:rFonts w:ascii="Times New Roman" w:hAnsi="Times New Roman" w:cs="Times New Roman"/>
          <w:sz w:val="24"/>
          <w:szCs w:val="24"/>
        </w:rPr>
        <w:t>F</w:t>
      </w:r>
      <w:r w:rsidR="0030567A">
        <w:rPr>
          <w:rFonts w:ascii="Times New Roman" w:hAnsi="Times New Roman" w:cs="Times New Roman"/>
          <w:sz w:val="24"/>
          <w:szCs w:val="24"/>
        </w:rPr>
        <w:t>ollowing a change of government in May 2010</w:t>
      </w:r>
      <w:r w:rsidR="005507EA">
        <w:rPr>
          <w:rFonts w:ascii="Times New Roman" w:hAnsi="Times New Roman" w:cs="Times New Roman"/>
          <w:sz w:val="24"/>
          <w:szCs w:val="24"/>
        </w:rPr>
        <w:t xml:space="preserve"> the </w:t>
      </w:r>
      <w:r w:rsidR="002C353F">
        <w:rPr>
          <w:rFonts w:ascii="Times New Roman" w:hAnsi="Times New Roman" w:cs="Times New Roman"/>
          <w:sz w:val="24"/>
          <w:szCs w:val="24"/>
        </w:rPr>
        <w:t xml:space="preserve">RDAs were dismantled, </w:t>
      </w:r>
      <w:r w:rsidR="00CB6B09">
        <w:rPr>
          <w:rFonts w:ascii="Times New Roman" w:hAnsi="Times New Roman" w:cs="Times New Roman"/>
          <w:sz w:val="24"/>
          <w:szCs w:val="24"/>
        </w:rPr>
        <w:t xml:space="preserve">so </w:t>
      </w:r>
      <w:r w:rsidR="005507EA">
        <w:rPr>
          <w:rFonts w:ascii="Times New Roman" w:hAnsi="Times New Roman" w:cs="Times New Roman"/>
          <w:sz w:val="24"/>
          <w:szCs w:val="24"/>
        </w:rPr>
        <w:t>from 2011 all the Axis 1</w:t>
      </w:r>
      <w:r w:rsidR="00AB6F47" w:rsidRPr="007B1A07">
        <w:rPr>
          <w:rFonts w:ascii="Times New Roman" w:hAnsi="Times New Roman" w:cs="Times New Roman"/>
          <w:sz w:val="24"/>
          <w:szCs w:val="24"/>
        </w:rPr>
        <w:t xml:space="preserve"> and </w:t>
      </w:r>
      <w:r w:rsidR="005507EA">
        <w:rPr>
          <w:rFonts w:ascii="Times New Roman" w:hAnsi="Times New Roman" w:cs="Times New Roman"/>
          <w:sz w:val="24"/>
          <w:szCs w:val="24"/>
        </w:rPr>
        <w:t>3</w:t>
      </w:r>
      <w:r w:rsidR="002C353F">
        <w:rPr>
          <w:rFonts w:ascii="Times New Roman" w:hAnsi="Times New Roman" w:cs="Times New Roman"/>
          <w:sz w:val="24"/>
          <w:szCs w:val="24"/>
        </w:rPr>
        <w:t xml:space="preserve"> </w:t>
      </w:r>
      <w:r w:rsidR="00AB6F47" w:rsidRPr="007B1A07">
        <w:rPr>
          <w:rFonts w:ascii="Times New Roman" w:hAnsi="Times New Roman" w:cs="Times New Roman"/>
          <w:sz w:val="24"/>
          <w:szCs w:val="24"/>
        </w:rPr>
        <w:t xml:space="preserve">funding schemes were </w:t>
      </w:r>
      <w:r w:rsidR="00517547">
        <w:rPr>
          <w:rFonts w:ascii="Times New Roman" w:hAnsi="Times New Roman" w:cs="Times New Roman"/>
          <w:sz w:val="24"/>
          <w:szCs w:val="24"/>
        </w:rPr>
        <w:t>re</w:t>
      </w:r>
      <w:r w:rsidR="00AB6F47" w:rsidRPr="007B1A07">
        <w:rPr>
          <w:rFonts w:ascii="Times New Roman" w:hAnsi="Times New Roman" w:cs="Times New Roman"/>
          <w:sz w:val="24"/>
          <w:szCs w:val="24"/>
        </w:rPr>
        <w:t xml:space="preserve">designed </w:t>
      </w:r>
      <w:r w:rsidR="00BD3E8D">
        <w:rPr>
          <w:rFonts w:ascii="Times New Roman" w:hAnsi="Times New Roman" w:cs="Times New Roman"/>
          <w:sz w:val="24"/>
          <w:szCs w:val="24"/>
        </w:rPr>
        <w:lastRenderedPageBreak/>
        <w:t xml:space="preserve">and run </w:t>
      </w:r>
      <w:r w:rsidR="008477D0">
        <w:rPr>
          <w:rFonts w:ascii="Times New Roman" w:hAnsi="Times New Roman" w:cs="Times New Roman"/>
          <w:sz w:val="24"/>
          <w:szCs w:val="24"/>
        </w:rPr>
        <w:t>centrally by Defra</w:t>
      </w:r>
      <w:r w:rsidR="005507EA">
        <w:rPr>
          <w:rFonts w:ascii="Times New Roman" w:hAnsi="Times New Roman" w:cs="Times New Roman"/>
          <w:sz w:val="24"/>
          <w:szCs w:val="24"/>
        </w:rPr>
        <w:t xml:space="preserve">, </w:t>
      </w:r>
      <w:r w:rsidR="00701D81">
        <w:rPr>
          <w:rFonts w:ascii="Times New Roman" w:hAnsi="Times New Roman" w:cs="Times New Roman"/>
          <w:sz w:val="24"/>
          <w:szCs w:val="24"/>
        </w:rPr>
        <w:t>although</w:t>
      </w:r>
      <w:r w:rsidR="00AB6F47" w:rsidRPr="007B1A07">
        <w:rPr>
          <w:rFonts w:ascii="Times New Roman" w:hAnsi="Times New Roman" w:cs="Times New Roman"/>
          <w:sz w:val="24"/>
          <w:szCs w:val="24"/>
        </w:rPr>
        <w:t xml:space="preserve"> </w:t>
      </w:r>
      <w:r w:rsidR="005507EA">
        <w:rPr>
          <w:rFonts w:ascii="Times New Roman" w:hAnsi="Times New Roman" w:cs="Times New Roman"/>
          <w:sz w:val="24"/>
          <w:szCs w:val="24"/>
        </w:rPr>
        <w:t>r</w:t>
      </w:r>
      <w:r w:rsidR="00AB6F47" w:rsidRPr="007B1A07">
        <w:rPr>
          <w:rFonts w:ascii="Times New Roman" w:hAnsi="Times New Roman" w:cs="Times New Roman"/>
          <w:sz w:val="24"/>
          <w:szCs w:val="24"/>
        </w:rPr>
        <w:t>egionally</w:t>
      </w:r>
      <w:r w:rsidR="0070414D">
        <w:rPr>
          <w:rFonts w:ascii="Times New Roman" w:hAnsi="Times New Roman" w:cs="Times New Roman"/>
          <w:sz w:val="24"/>
          <w:szCs w:val="24"/>
        </w:rPr>
        <w:t>-</w:t>
      </w:r>
      <w:r w:rsidR="00AB6F47" w:rsidRPr="007B1A07">
        <w:rPr>
          <w:rFonts w:ascii="Times New Roman" w:hAnsi="Times New Roman" w:cs="Times New Roman"/>
          <w:sz w:val="24"/>
          <w:szCs w:val="24"/>
        </w:rPr>
        <w:t xml:space="preserve">based delivery staff </w:t>
      </w:r>
      <w:r w:rsidR="00701D81">
        <w:rPr>
          <w:rFonts w:ascii="Times New Roman" w:hAnsi="Times New Roman" w:cs="Times New Roman"/>
          <w:sz w:val="24"/>
          <w:szCs w:val="24"/>
        </w:rPr>
        <w:t xml:space="preserve">were used </w:t>
      </w:r>
      <w:r w:rsidR="00AB6F47" w:rsidRPr="007B1A07">
        <w:rPr>
          <w:rFonts w:ascii="Times New Roman" w:hAnsi="Times New Roman" w:cs="Times New Roman"/>
          <w:sz w:val="24"/>
          <w:szCs w:val="24"/>
        </w:rPr>
        <w:t>to support project implementation</w:t>
      </w:r>
      <w:r w:rsidR="002C353F">
        <w:rPr>
          <w:rFonts w:ascii="Times New Roman" w:hAnsi="Times New Roman" w:cs="Times New Roman"/>
          <w:sz w:val="24"/>
          <w:szCs w:val="24"/>
        </w:rPr>
        <w:t>,</w:t>
      </w:r>
      <w:r w:rsidR="00AB6F47" w:rsidRPr="007B1A07">
        <w:rPr>
          <w:rFonts w:ascii="Times New Roman" w:hAnsi="Times New Roman" w:cs="Times New Roman"/>
          <w:sz w:val="24"/>
          <w:szCs w:val="24"/>
        </w:rPr>
        <w:t xml:space="preserve"> particular</w:t>
      </w:r>
      <w:r w:rsidR="00517547">
        <w:rPr>
          <w:rFonts w:ascii="Times New Roman" w:hAnsi="Times New Roman" w:cs="Times New Roman"/>
          <w:sz w:val="24"/>
          <w:szCs w:val="24"/>
        </w:rPr>
        <w:t>ly</w:t>
      </w:r>
      <w:r w:rsidR="00AB6F47" w:rsidRPr="007B1A07">
        <w:rPr>
          <w:rFonts w:ascii="Times New Roman" w:hAnsi="Times New Roman" w:cs="Times New Roman"/>
          <w:sz w:val="24"/>
          <w:szCs w:val="24"/>
        </w:rPr>
        <w:t xml:space="preserve"> where contract</w:t>
      </w:r>
      <w:r w:rsidR="00517547">
        <w:rPr>
          <w:rFonts w:ascii="Times New Roman" w:hAnsi="Times New Roman" w:cs="Times New Roman"/>
          <w:sz w:val="24"/>
          <w:szCs w:val="24"/>
        </w:rPr>
        <w:t>s</w:t>
      </w:r>
      <w:r w:rsidR="00AB6F47" w:rsidRPr="007B1A07">
        <w:rPr>
          <w:rFonts w:ascii="Times New Roman" w:hAnsi="Times New Roman" w:cs="Times New Roman"/>
          <w:sz w:val="24"/>
          <w:szCs w:val="24"/>
        </w:rPr>
        <w:t xml:space="preserve"> for </w:t>
      </w:r>
      <w:r w:rsidR="00517547">
        <w:rPr>
          <w:rFonts w:ascii="Times New Roman" w:hAnsi="Times New Roman" w:cs="Times New Roman"/>
          <w:sz w:val="24"/>
          <w:szCs w:val="24"/>
        </w:rPr>
        <w:t xml:space="preserve">sub-regional </w:t>
      </w:r>
      <w:r w:rsidR="00AB6F47" w:rsidRPr="007B1A07">
        <w:rPr>
          <w:rFonts w:ascii="Times New Roman" w:hAnsi="Times New Roman" w:cs="Times New Roman"/>
          <w:sz w:val="24"/>
          <w:szCs w:val="24"/>
        </w:rPr>
        <w:t>de</w:t>
      </w:r>
      <w:r w:rsidR="002C353F">
        <w:rPr>
          <w:rFonts w:ascii="Times New Roman" w:hAnsi="Times New Roman" w:cs="Times New Roman"/>
          <w:sz w:val="24"/>
          <w:szCs w:val="24"/>
        </w:rPr>
        <w:t>livery were already in operation</w:t>
      </w:r>
      <w:r w:rsidR="00AB6F47" w:rsidRPr="007B1A07">
        <w:rPr>
          <w:rFonts w:ascii="Times New Roman" w:hAnsi="Times New Roman" w:cs="Times New Roman"/>
          <w:sz w:val="24"/>
          <w:szCs w:val="24"/>
        </w:rPr>
        <w:t xml:space="preserve">.  </w:t>
      </w:r>
      <w:r w:rsidR="00394AEB">
        <w:rPr>
          <w:rFonts w:ascii="Times New Roman" w:hAnsi="Times New Roman" w:cs="Times New Roman"/>
          <w:sz w:val="24"/>
          <w:szCs w:val="24"/>
        </w:rPr>
        <w:t>The</w:t>
      </w:r>
      <w:r w:rsidR="0030567A">
        <w:rPr>
          <w:rFonts w:ascii="Times New Roman" w:hAnsi="Times New Roman" w:cs="Times New Roman"/>
          <w:sz w:val="24"/>
          <w:szCs w:val="24"/>
        </w:rPr>
        <w:t xml:space="preserve">se </w:t>
      </w:r>
      <w:r w:rsidR="00394AEB">
        <w:rPr>
          <w:rFonts w:ascii="Times New Roman" w:hAnsi="Times New Roman" w:cs="Times New Roman"/>
          <w:sz w:val="24"/>
          <w:szCs w:val="24"/>
        </w:rPr>
        <w:t xml:space="preserve">changes </w:t>
      </w:r>
      <w:r w:rsidR="00B1528D">
        <w:rPr>
          <w:rFonts w:ascii="Times New Roman" w:hAnsi="Times New Roman" w:cs="Times New Roman"/>
          <w:sz w:val="24"/>
          <w:szCs w:val="24"/>
        </w:rPr>
        <w:t>allow for</w:t>
      </w:r>
      <w:r w:rsidR="0030567A">
        <w:rPr>
          <w:rFonts w:ascii="Times New Roman" w:hAnsi="Times New Roman" w:cs="Times New Roman"/>
          <w:sz w:val="24"/>
          <w:szCs w:val="24"/>
        </w:rPr>
        <w:t xml:space="preserve"> </w:t>
      </w:r>
      <w:r w:rsidR="00E46184">
        <w:rPr>
          <w:rFonts w:ascii="Times New Roman" w:hAnsi="Times New Roman" w:cs="Times New Roman"/>
          <w:sz w:val="24"/>
          <w:szCs w:val="24"/>
        </w:rPr>
        <w:t xml:space="preserve">a </w:t>
      </w:r>
      <w:r w:rsidR="0030567A">
        <w:rPr>
          <w:rFonts w:ascii="Times New Roman" w:hAnsi="Times New Roman" w:cs="Times New Roman"/>
          <w:sz w:val="24"/>
          <w:szCs w:val="24"/>
        </w:rPr>
        <w:t xml:space="preserve">‘before and after’ </w:t>
      </w:r>
      <w:r w:rsidR="008B6EA4">
        <w:rPr>
          <w:rFonts w:ascii="Times New Roman" w:hAnsi="Times New Roman" w:cs="Times New Roman"/>
          <w:sz w:val="24"/>
          <w:szCs w:val="24"/>
        </w:rPr>
        <w:t xml:space="preserve">comparison </w:t>
      </w:r>
      <w:r w:rsidR="007F3CAF">
        <w:rPr>
          <w:rFonts w:ascii="Times New Roman" w:hAnsi="Times New Roman" w:cs="Times New Roman"/>
          <w:sz w:val="24"/>
          <w:szCs w:val="24"/>
        </w:rPr>
        <w:t>of</w:t>
      </w:r>
      <w:r w:rsidR="00394AEB">
        <w:rPr>
          <w:rFonts w:ascii="Times New Roman" w:hAnsi="Times New Roman" w:cs="Times New Roman"/>
          <w:sz w:val="24"/>
          <w:szCs w:val="24"/>
        </w:rPr>
        <w:t xml:space="preserve"> how </w:t>
      </w:r>
      <w:r w:rsidR="005507EA">
        <w:rPr>
          <w:rFonts w:ascii="Times New Roman" w:hAnsi="Times New Roman" w:cs="Times New Roman"/>
          <w:sz w:val="24"/>
          <w:szCs w:val="24"/>
        </w:rPr>
        <w:t>the different</w:t>
      </w:r>
      <w:r w:rsidR="00394AEB">
        <w:rPr>
          <w:rFonts w:ascii="Times New Roman" w:hAnsi="Times New Roman" w:cs="Times New Roman"/>
          <w:sz w:val="24"/>
          <w:szCs w:val="24"/>
        </w:rPr>
        <w:t xml:space="preserve"> approaches</w:t>
      </w:r>
      <w:r w:rsidR="005507EA">
        <w:rPr>
          <w:rFonts w:ascii="Times New Roman" w:hAnsi="Times New Roman" w:cs="Times New Roman"/>
          <w:sz w:val="24"/>
          <w:szCs w:val="24"/>
        </w:rPr>
        <w:t xml:space="preserve">, with </w:t>
      </w:r>
      <w:r w:rsidR="00394AEB">
        <w:rPr>
          <w:rFonts w:ascii="Times New Roman" w:hAnsi="Times New Roman" w:cs="Times New Roman"/>
          <w:sz w:val="24"/>
          <w:szCs w:val="24"/>
        </w:rPr>
        <w:t xml:space="preserve">contrasting </w:t>
      </w:r>
      <w:r w:rsidR="005507EA">
        <w:rPr>
          <w:rFonts w:ascii="Times New Roman" w:hAnsi="Times New Roman" w:cs="Times New Roman"/>
          <w:sz w:val="24"/>
          <w:szCs w:val="24"/>
        </w:rPr>
        <w:t>transaction processes,</w:t>
      </w:r>
      <w:r w:rsidR="00394AEB">
        <w:rPr>
          <w:rFonts w:ascii="Times New Roman" w:hAnsi="Times New Roman" w:cs="Times New Roman"/>
          <w:sz w:val="24"/>
          <w:szCs w:val="24"/>
        </w:rPr>
        <w:t xml:space="preserve"> i</w:t>
      </w:r>
      <w:r w:rsidR="008477D0">
        <w:rPr>
          <w:rFonts w:ascii="Times New Roman" w:hAnsi="Times New Roman" w:cs="Times New Roman"/>
          <w:sz w:val="24"/>
          <w:szCs w:val="24"/>
        </w:rPr>
        <w:t>nfluence</w:t>
      </w:r>
      <w:r w:rsidR="006E2327">
        <w:rPr>
          <w:rFonts w:ascii="Times New Roman" w:hAnsi="Times New Roman" w:cs="Times New Roman"/>
          <w:sz w:val="24"/>
          <w:szCs w:val="24"/>
        </w:rPr>
        <w:t>d</w:t>
      </w:r>
      <w:r w:rsidR="008477D0">
        <w:rPr>
          <w:rFonts w:ascii="Times New Roman" w:hAnsi="Times New Roman" w:cs="Times New Roman"/>
          <w:sz w:val="24"/>
          <w:szCs w:val="24"/>
        </w:rPr>
        <w:t xml:space="preserve"> programme outcomes</w:t>
      </w:r>
      <w:r w:rsidR="00E46184">
        <w:rPr>
          <w:rFonts w:ascii="Times New Roman" w:hAnsi="Times New Roman" w:cs="Times New Roman"/>
          <w:sz w:val="24"/>
          <w:szCs w:val="24"/>
        </w:rPr>
        <w:t xml:space="preserve"> in England</w:t>
      </w:r>
      <w:r w:rsidR="00394AEB">
        <w:rPr>
          <w:rFonts w:ascii="Times New Roman" w:hAnsi="Times New Roman" w:cs="Times New Roman"/>
          <w:sz w:val="24"/>
          <w:szCs w:val="24"/>
        </w:rPr>
        <w:t>.</w:t>
      </w:r>
    </w:p>
    <w:p w:rsidR="000403BD" w:rsidRPr="007B1A07" w:rsidRDefault="000403BD" w:rsidP="008D745F">
      <w:pPr>
        <w:spacing w:after="0" w:line="360" w:lineRule="auto"/>
        <w:jc w:val="both"/>
        <w:rPr>
          <w:rFonts w:ascii="Times New Roman" w:hAnsi="Times New Roman" w:cs="Times New Roman"/>
          <w:sz w:val="24"/>
          <w:szCs w:val="24"/>
        </w:rPr>
      </w:pPr>
    </w:p>
    <w:p w:rsidR="00CF7958" w:rsidRDefault="005507EA" w:rsidP="008D74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2012, the authors were involved in an e</w:t>
      </w:r>
      <w:r w:rsidR="00BF457B">
        <w:rPr>
          <w:rFonts w:ascii="Times New Roman" w:hAnsi="Times New Roman" w:cs="Times New Roman"/>
          <w:sz w:val="24"/>
          <w:szCs w:val="24"/>
        </w:rPr>
        <w:t>valuation</w:t>
      </w:r>
      <w:r w:rsidR="001154E2">
        <w:rPr>
          <w:rFonts w:ascii="Times New Roman" w:hAnsi="Times New Roman" w:cs="Times New Roman"/>
          <w:sz w:val="24"/>
          <w:szCs w:val="24"/>
        </w:rPr>
        <w:t xml:space="preserve"> of </w:t>
      </w:r>
      <w:r w:rsidR="00517547">
        <w:rPr>
          <w:rFonts w:ascii="Times New Roman" w:hAnsi="Times New Roman" w:cs="Times New Roman"/>
          <w:sz w:val="24"/>
          <w:szCs w:val="24"/>
        </w:rPr>
        <w:t>Axes 1 &amp; 3 of the 2007–13 RDP</w:t>
      </w:r>
      <w:r w:rsidR="0030567A">
        <w:rPr>
          <w:rFonts w:ascii="Times New Roman" w:hAnsi="Times New Roman" w:cs="Times New Roman"/>
          <w:sz w:val="24"/>
          <w:szCs w:val="24"/>
        </w:rPr>
        <w:t>E</w:t>
      </w:r>
      <w:r w:rsidR="00517547">
        <w:rPr>
          <w:rFonts w:ascii="Times New Roman" w:hAnsi="Times New Roman" w:cs="Times New Roman"/>
          <w:sz w:val="24"/>
          <w:szCs w:val="24"/>
        </w:rPr>
        <w:t xml:space="preserve"> </w:t>
      </w:r>
      <w:r w:rsidR="00A551FD">
        <w:rPr>
          <w:rFonts w:ascii="Times New Roman" w:hAnsi="Times New Roman" w:cs="Times New Roman"/>
          <w:sz w:val="24"/>
          <w:szCs w:val="24"/>
        </w:rPr>
        <w:t>(Powell and Courtney, 2013)</w:t>
      </w:r>
      <w:r>
        <w:rPr>
          <w:rFonts w:ascii="Times New Roman" w:hAnsi="Times New Roman" w:cs="Times New Roman"/>
          <w:sz w:val="24"/>
          <w:szCs w:val="24"/>
        </w:rPr>
        <w:t>.</w:t>
      </w:r>
      <w:r w:rsidR="000403BD">
        <w:rPr>
          <w:rFonts w:ascii="Times New Roman" w:hAnsi="Times New Roman" w:cs="Times New Roman"/>
          <w:sz w:val="24"/>
          <w:szCs w:val="24"/>
        </w:rPr>
        <w:t xml:space="preserve"> P</w:t>
      </w:r>
      <w:r w:rsidR="00517547">
        <w:rPr>
          <w:rFonts w:ascii="Times New Roman" w:hAnsi="Times New Roman" w:cs="Times New Roman"/>
          <w:sz w:val="24"/>
          <w:szCs w:val="24"/>
        </w:rPr>
        <w:t xml:space="preserve">erformance </w:t>
      </w:r>
      <w:r w:rsidR="00516EA1">
        <w:rPr>
          <w:rFonts w:ascii="Times New Roman" w:hAnsi="Times New Roman" w:cs="Times New Roman"/>
          <w:sz w:val="24"/>
          <w:szCs w:val="24"/>
        </w:rPr>
        <w:t xml:space="preserve">was examined through </w:t>
      </w:r>
      <w:r w:rsidR="00BF457B">
        <w:rPr>
          <w:rFonts w:ascii="Times New Roman" w:hAnsi="Times New Roman" w:cs="Times New Roman"/>
          <w:sz w:val="24"/>
          <w:szCs w:val="24"/>
        </w:rPr>
        <w:t xml:space="preserve">mixed-methods </w:t>
      </w:r>
      <w:r w:rsidR="00516EA1">
        <w:rPr>
          <w:rFonts w:ascii="Times New Roman" w:hAnsi="Times New Roman" w:cs="Times New Roman"/>
          <w:sz w:val="24"/>
          <w:szCs w:val="24"/>
        </w:rPr>
        <w:t>analysis</w:t>
      </w:r>
      <w:r>
        <w:rPr>
          <w:rFonts w:ascii="Times New Roman" w:hAnsi="Times New Roman" w:cs="Times New Roman"/>
          <w:sz w:val="24"/>
          <w:szCs w:val="24"/>
        </w:rPr>
        <w:t xml:space="preserve"> combining secondary data, stakeholder interviews and focus groups</w:t>
      </w:r>
      <w:r w:rsidR="00701D81">
        <w:rPr>
          <w:rFonts w:ascii="Times New Roman" w:hAnsi="Times New Roman" w:cs="Times New Roman"/>
          <w:sz w:val="24"/>
          <w:szCs w:val="24"/>
        </w:rPr>
        <w:t>,</w:t>
      </w:r>
      <w:r>
        <w:rPr>
          <w:rFonts w:ascii="Times New Roman" w:hAnsi="Times New Roman" w:cs="Times New Roman"/>
          <w:sz w:val="24"/>
          <w:szCs w:val="24"/>
        </w:rPr>
        <w:t xml:space="preserve"> and a detailed beneficiary survey</w:t>
      </w:r>
      <w:r w:rsidR="00516EA1">
        <w:rPr>
          <w:rFonts w:ascii="Times New Roman" w:hAnsi="Times New Roman" w:cs="Times New Roman"/>
          <w:sz w:val="24"/>
          <w:szCs w:val="24"/>
        </w:rPr>
        <w:t xml:space="preserve"> in four regions</w:t>
      </w:r>
      <w:r w:rsidR="00CF7958">
        <w:rPr>
          <w:rFonts w:ascii="Times New Roman" w:hAnsi="Times New Roman" w:cs="Times New Roman"/>
          <w:sz w:val="24"/>
          <w:szCs w:val="24"/>
        </w:rPr>
        <w:t xml:space="preserve"> </w:t>
      </w:r>
      <w:r w:rsidR="00F00B6B">
        <w:rPr>
          <w:rFonts w:ascii="Times New Roman" w:hAnsi="Times New Roman" w:cs="Times New Roman"/>
          <w:sz w:val="24"/>
          <w:szCs w:val="24"/>
        </w:rPr>
        <w:t>(</w:t>
      </w:r>
      <w:r w:rsidR="00CF7958">
        <w:rPr>
          <w:rFonts w:ascii="Times New Roman" w:hAnsi="Times New Roman" w:cs="Times New Roman"/>
          <w:sz w:val="24"/>
          <w:szCs w:val="24"/>
        </w:rPr>
        <w:t xml:space="preserve">North-west, South-west, East Midlands, and East </w:t>
      </w:r>
      <w:r w:rsidR="00F00B6B">
        <w:rPr>
          <w:rFonts w:ascii="Times New Roman" w:hAnsi="Times New Roman" w:cs="Times New Roman"/>
          <w:sz w:val="24"/>
          <w:szCs w:val="24"/>
        </w:rPr>
        <w:t>of England)</w:t>
      </w:r>
      <w:r w:rsidR="00CF7958">
        <w:rPr>
          <w:rFonts w:ascii="Times New Roman" w:hAnsi="Times New Roman" w:cs="Times New Roman"/>
          <w:sz w:val="24"/>
          <w:szCs w:val="24"/>
        </w:rPr>
        <w:t xml:space="preserve"> </w:t>
      </w:r>
      <w:r w:rsidR="006E2327">
        <w:rPr>
          <w:rFonts w:ascii="Times New Roman" w:hAnsi="Times New Roman" w:cs="Times New Roman"/>
          <w:sz w:val="24"/>
          <w:szCs w:val="24"/>
        </w:rPr>
        <w:t xml:space="preserve">selected </w:t>
      </w:r>
      <w:r w:rsidR="00CF7958">
        <w:rPr>
          <w:rFonts w:ascii="Times New Roman" w:hAnsi="Times New Roman" w:cs="Times New Roman"/>
          <w:sz w:val="24"/>
          <w:szCs w:val="24"/>
        </w:rPr>
        <w:t xml:space="preserve">in order to capture </w:t>
      </w:r>
      <w:r w:rsidR="00B43667">
        <w:rPr>
          <w:rFonts w:ascii="Times New Roman" w:hAnsi="Times New Roman" w:cs="Times New Roman"/>
          <w:sz w:val="24"/>
          <w:szCs w:val="24"/>
        </w:rPr>
        <w:t>contrasting</w:t>
      </w:r>
      <w:r w:rsidR="00CF7958">
        <w:rPr>
          <w:rFonts w:ascii="Times New Roman" w:hAnsi="Times New Roman" w:cs="Times New Roman"/>
          <w:sz w:val="24"/>
          <w:szCs w:val="24"/>
        </w:rPr>
        <w:t xml:space="preserve"> </w:t>
      </w:r>
      <w:r>
        <w:rPr>
          <w:rFonts w:ascii="Times New Roman" w:hAnsi="Times New Roman" w:cs="Times New Roman"/>
          <w:sz w:val="24"/>
          <w:szCs w:val="24"/>
        </w:rPr>
        <w:t>geographical</w:t>
      </w:r>
      <w:r w:rsidR="00CF7958">
        <w:rPr>
          <w:rFonts w:ascii="Times New Roman" w:hAnsi="Times New Roman" w:cs="Times New Roman"/>
          <w:sz w:val="24"/>
          <w:szCs w:val="24"/>
        </w:rPr>
        <w:t xml:space="preserve"> characteristics a</w:t>
      </w:r>
      <w:r w:rsidR="00B43667">
        <w:rPr>
          <w:rFonts w:ascii="Times New Roman" w:hAnsi="Times New Roman" w:cs="Times New Roman"/>
          <w:sz w:val="24"/>
          <w:szCs w:val="24"/>
        </w:rPr>
        <w:t>s well as</w:t>
      </w:r>
      <w:r w:rsidR="00CF7958">
        <w:rPr>
          <w:rFonts w:ascii="Times New Roman" w:hAnsi="Times New Roman" w:cs="Times New Roman"/>
          <w:sz w:val="24"/>
          <w:szCs w:val="24"/>
        </w:rPr>
        <w:t xml:space="preserve"> </w:t>
      </w:r>
      <w:r w:rsidR="00701D81">
        <w:rPr>
          <w:rFonts w:ascii="Times New Roman" w:hAnsi="Times New Roman" w:cs="Times New Roman"/>
          <w:sz w:val="24"/>
          <w:szCs w:val="24"/>
        </w:rPr>
        <w:t xml:space="preserve">the regional </w:t>
      </w:r>
      <w:r w:rsidR="00CF7958">
        <w:rPr>
          <w:rFonts w:ascii="Times New Roman" w:hAnsi="Times New Roman" w:cs="Times New Roman"/>
          <w:sz w:val="24"/>
          <w:szCs w:val="24"/>
        </w:rPr>
        <w:t xml:space="preserve">differences in RDP </w:t>
      </w:r>
      <w:r w:rsidR="006E2327">
        <w:rPr>
          <w:rFonts w:ascii="Times New Roman" w:hAnsi="Times New Roman" w:cs="Times New Roman"/>
          <w:sz w:val="24"/>
          <w:szCs w:val="24"/>
        </w:rPr>
        <w:t>design and delivery</w:t>
      </w:r>
      <w:r w:rsidR="00F00B6B">
        <w:rPr>
          <w:rFonts w:ascii="Times New Roman" w:hAnsi="Times New Roman" w:cs="Times New Roman"/>
          <w:sz w:val="24"/>
          <w:szCs w:val="24"/>
        </w:rPr>
        <w:t>.</w:t>
      </w:r>
      <w:r w:rsidR="00CF7958">
        <w:rPr>
          <w:rFonts w:ascii="Times New Roman" w:hAnsi="Times New Roman" w:cs="Times New Roman"/>
          <w:sz w:val="24"/>
          <w:szCs w:val="24"/>
        </w:rPr>
        <w:t xml:space="preserve">  Evaluation was carried out using an </w:t>
      </w:r>
      <w:r w:rsidR="00BF457B">
        <w:rPr>
          <w:rFonts w:ascii="Times New Roman" w:hAnsi="Times New Roman" w:cs="Times New Roman"/>
          <w:sz w:val="24"/>
          <w:szCs w:val="24"/>
        </w:rPr>
        <w:t>SROI</w:t>
      </w:r>
      <w:r w:rsidR="00BF457B">
        <w:rPr>
          <w:rStyle w:val="FootnoteReference"/>
          <w:rFonts w:ascii="Times New Roman" w:hAnsi="Times New Roman" w:cs="Times New Roman"/>
          <w:sz w:val="24"/>
          <w:szCs w:val="24"/>
        </w:rPr>
        <w:footnoteReference w:id="9"/>
      </w:r>
      <w:r w:rsidR="00BF457B">
        <w:rPr>
          <w:rFonts w:ascii="Times New Roman" w:hAnsi="Times New Roman" w:cs="Times New Roman"/>
          <w:sz w:val="24"/>
          <w:szCs w:val="24"/>
        </w:rPr>
        <w:t xml:space="preserve"> </w:t>
      </w:r>
      <w:r w:rsidR="00CF7958">
        <w:rPr>
          <w:rFonts w:ascii="Times New Roman" w:hAnsi="Times New Roman" w:cs="Times New Roman"/>
          <w:sz w:val="24"/>
          <w:szCs w:val="24"/>
        </w:rPr>
        <w:t>approach w</w:t>
      </w:r>
      <w:r w:rsidR="006E2327">
        <w:rPr>
          <w:rFonts w:ascii="Times New Roman" w:hAnsi="Times New Roman" w:cs="Times New Roman"/>
          <w:sz w:val="24"/>
          <w:szCs w:val="24"/>
        </w:rPr>
        <w:t>hich places emphasis</w:t>
      </w:r>
      <w:r w:rsidR="00CF7958">
        <w:rPr>
          <w:rFonts w:ascii="Times New Roman" w:hAnsi="Times New Roman" w:cs="Times New Roman"/>
          <w:sz w:val="24"/>
          <w:szCs w:val="24"/>
        </w:rPr>
        <w:t xml:space="preserve"> </w:t>
      </w:r>
      <w:r w:rsidR="006E2327">
        <w:rPr>
          <w:rFonts w:ascii="Times New Roman" w:hAnsi="Times New Roman" w:cs="Times New Roman"/>
          <w:sz w:val="24"/>
          <w:szCs w:val="24"/>
        </w:rPr>
        <w:t>up</w:t>
      </w:r>
      <w:r w:rsidR="00CF7958">
        <w:rPr>
          <w:rFonts w:ascii="Times New Roman" w:hAnsi="Times New Roman" w:cs="Times New Roman"/>
          <w:sz w:val="24"/>
          <w:szCs w:val="24"/>
        </w:rPr>
        <w:t>on measuring</w:t>
      </w:r>
      <w:r w:rsidR="006E2327">
        <w:rPr>
          <w:rFonts w:ascii="Times New Roman" w:hAnsi="Times New Roman" w:cs="Times New Roman"/>
          <w:sz w:val="24"/>
          <w:szCs w:val="24"/>
        </w:rPr>
        <w:t xml:space="preserve"> a wide range of</w:t>
      </w:r>
      <w:r w:rsidR="00CF7958">
        <w:rPr>
          <w:rFonts w:ascii="Times New Roman" w:hAnsi="Times New Roman" w:cs="Times New Roman"/>
          <w:sz w:val="24"/>
          <w:szCs w:val="24"/>
        </w:rPr>
        <w:t xml:space="preserve"> programme outcomes (as opposed to outputs).  </w:t>
      </w:r>
      <w:r w:rsidR="00CA63E3">
        <w:rPr>
          <w:rFonts w:ascii="Times New Roman" w:hAnsi="Times New Roman" w:cs="Times New Roman"/>
          <w:sz w:val="24"/>
          <w:szCs w:val="24"/>
        </w:rPr>
        <w:t>Outcome indicators for each RDP measure were identified</w:t>
      </w:r>
      <w:r w:rsidR="00F00B6B">
        <w:rPr>
          <w:rFonts w:ascii="Times New Roman" w:hAnsi="Times New Roman" w:cs="Times New Roman"/>
          <w:sz w:val="24"/>
          <w:szCs w:val="24"/>
        </w:rPr>
        <w:t>,</w:t>
      </w:r>
      <w:r w:rsidR="00CA63E3">
        <w:rPr>
          <w:rFonts w:ascii="Times New Roman" w:hAnsi="Times New Roman" w:cs="Times New Roman"/>
          <w:sz w:val="24"/>
          <w:szCs w:val="24"/>
        </w:rPr>
        <w:t xml:space="preserve"> and the extent to which they were achieved was assessed through analysis of expenditure data, monitoring information, and </w:t>
      </w:r>
      <w:r w:rsidR="006E2327">
        <w:rPr>
          <w:rFonts w:ascii="Times New Roman" w:hAnsi="Times New Roman" w:cs="Times New Roman"/>
          <w:sz w:val="24"/>
          <w:szCs w:val="24"/>
        </w:rPr>
        <w:t xml:space="preserve">relevant </w:t>
      </w:r>
      <w:r w:rsidR="00CA63E3">
        <w:rPr>
          <w:rFonts w:ascii="Times New Roman" w:hAnsi="Times New Roman" w:cs="Times New Roman"/>
          <w:sz w:val="24"/>
          <w:szCs w:val="24"/>
        </w:rPr>
        <w:t xml:space="preserve">stakeholder interviews at local, regional and national levels.  Indicators were assigned monetary values </w:t>
      </w:r>
      <w:r w:rsidR="00270309">
        <w:rPr>
          <w:rFonts w:ascii="Times New Roman" w:hAnsi="Times New Roman" w:cs="Times New Roman"/>
          <w:sz w:val="24"/>
          <w:szCs w:val="24"/>
        </w:rPr>
        <w:t xml:space="preserve">(using market values where available and </w:t>
      </w:r>
      <w:r w:rsidR="006E2327">
        <w:rPr>
          <w:rFonts w:ascii="Times New Roman" w:hAnsi="Times New Roman" w:cs="Times New Roman"/>
          <w:sz w:val="24"/>
          <w:szCs w:val="24"/>
        </w:rPr>
        <w:t>proxie</w:t>
      </w:r>
      <w:r w:rsidR="00270309">
        <w:rPr>
          <w:rFonts w:ascii="Times New Roman" w:hAnsi="Times New Roman" w:cs="Times New Roman"/>
          <w:sz w:val="24"/>
          <w:szCs w:val="24"/>
        </w:rPr>
        <w:t>s from the literature for the non-market public goods produced).  T</w:t>
      </w:r>
      <w:r w:rsidR="00CA63E3">
        <w:rPr>
          <w:rFonts w:ascii="Times New Roman" w:hAnsi="Times New Roman" w:cs="Times New Roman"/>
          <w:sz w:val="24"/>
          <w:szCs w:val="24"/>
        </w:rPr>
        <w:t xml:space="preserve">otal outcomes </w:t>
      </w:r>
      <w:r w:rsidR="00270309">
        <w:rPr>
          <w:rFonts w:ascii="Times New Roman" w:hAnsi="Times New Roman" w:cs="Times New Roman"/>
          <w:sz w:val="24"/>
          <w:szCs w:val="24"/>
        </w:rPr>
        <w:t xml:space="preserve">were </w:t>
      </w:r>
      <w:r w:rsidR="00CA63E3">
        <w:rPr>
          <w:rFonts w:ascii="Times New Roman" w:hAnsi="Times New Roman" w:cs="Times New Roman"/>
          <w:sz w:val="24"/>
          <w:szCs w:val="24"/>
        </w:rPr>
        <w:t>aggregated over the programme period and for five years into the future using discount</w:t>
      </w:r>
      <w:r w:rsidR="006E2327">
        <w:rPr>
          <w:rFonts w:ascii="Times New Roman" w:hAnsi="Times New Roman" w:cs="Times New Roman"/>
          <w:sz w:val="24"/>
          <w:szCs w:val="24"/>
        </w:rPr>
        <w:t>ed values</w:t>
      </w:r>
      <w:r w:rsidR="00CA63E3">
        <w:rPr>
          <w:rFonts w:ascii="Times New Roman" w:hAnsi="Times New Roman" w:cs="Times New Roman"/>
          <w:sz w:val="24"/>
          <w:szCs w:val="24"/>
        </w:rPr>
        <w:t>, taking into account stakeholder estimates of attribution, displacement, and deadweight</w:t>
      </w:r>
      <w:r w:rsidR="006E2327">
        <w:rPr>
          <w:rFonts w:ascii="Times New Roman" w:hAnsi="Times New Roman" w:cs="Times New Roman"/>
          <w:sz w:val="24"/>
          <w:szCs w:val="24"/>
        </w:rPr>
        <w:t xml:space="preserve"> effects</w:t>
      </w:r>
      <w:r w:rsidR="00CA63E3">
        <w:rPr>
          <w:rFonts w:ascii="Times New Roman" w:hAnsi="Times New Roman" w:cs="Times New Roman"/>
          <w:sz w:val="24"/>
          <w:szCs w:val="24"/>
        </w:rPr>
        <w:t>.  The total value of programme out</w:t>
      </w:r>
      <w:r w:rsidR="005418DE">
        <w:rPr>
          <w:rFonts w:ascii="Times New Roman" w:hAnsi="Times New Roman" w:cs="Times New Roman"/>
          <w:sz w:val="24"/>
          <w:szCs w:val="24"/>
        </w:rPr>
        <w:t>comes</w:t>
      </w:r>
      <w:r w:rsidR="00CA63E3">
        <w:rPr>
          <w:rFonts w:ascii="Times New Roman" w:hAnsi="Times New Roman" w:cs="Times New Roman"/>
          <w:sz w:val="24"/>
          <w:szCs w:val="24"/>
        </w:rPr>
        <w:t xml:space="preserve"> (realised and for</w:t>
      </w:r>
      <w:r w:rsidR="00270309">
        <w:rPr>
          <w:rFonts w:ascii="Times New Roman" w:hAnsi="Times New Roman" w:cs="Times New Roman"/>
          <w:sz w:val="24"/>
          <w:szCs w:val="24"/>
        </w:rPr>
        <w:t>e</w:t>
      </w:r>
      <w:r w:rsidR="00CA63E3">
        <w:rPr>
          <w:rFonts w:ascii="Times New Roman" w:hAnsi="Times New Roman" w:cs="Times New Roman"/>
          <w:sz w:val="24"/>
          <w:szCs w:val="24"/>
        </w:rPr>
        <w:t>cast) w</w:t>
      </w:r>
      <w:r w:rsidR="006E2327">
        <w:rPr>
          <w:rFonts w:ascii="Times New Roman" w:hAnsi="Times New Roman" w:cs="Times New Roman"/>
          <w:sz w:val="24"/>
          <w:szCs w:val="24"/>
        </w:rPr>
        <w:t>as</w:t>
      </w:r>
      <w:r w:rsidR="00CA63E3">
        <w:rPr>
          <w:rFonts w:ascii="Times New Roman" w:hAnsi="Times New Roman" w:cs="Times New Roman"/>
          <w:sz w:val="24"/>
          <w:szCs w:val="24"/>
        </w:rPr>
        <w:t xml:space="preserve"> compared </w:t>
      </w:r>
      <w:r w:rsidR="00270309">
        <w:rPr>
          <w:rFonts w:ascii="Times New Roman" w:hAnsi="Times New Roman" w:cs="Times New Roman"/>
          <w:sz w:val="24"/>
          <w:szCs w:val="24"/>
        </w:rPr>
        <w:t>to expenditure</w:t>
      </w:r>
      <w:r w:rsidR="005418DE">
        <w:rPr>
          <w:rFonts w:ascii="Times New Roman" w:hAnsi="Times New Roman" w:cs="Times New Roman"/>
          <w:sz w:val="24"/>
          <w:szCs w:val="24"/>
        </w:rPr>
        <w:t xml:space="preserve">, </w:t>
      </w:r>
      <w:r w:rsidR="00270309">
        <w:rPr>
          <w:rFonts w:ascii="Times New Roman" w:hAnsi="Times New Roman" w:cs="Times New Roman"/>
          <w:sz w:val="24"/>
          <w:szCs w:val="24"/>
        </w:rPr>
        <w:t>provid</w:t>
      </w:r>
      <w:r w:rsidR="005418DE">
        <w:rPr>
          <w:rFonts w:ascii="Times New Roman" w:hAnsi="Times New Roman" w:cs="Times New Roman"/>
          <w:sz w:val="24"/>
          <w:szCs w:val="24"/>
        </w:rPr>
        <w:t>ing</w:t>
      </w:r>
      <w:r w:rsidR="00270309">
        <w:rPr>
          <w:rFonts w:ascii="Times New Roman" w:hAnsi="Times New Roman" w:cs="Times New Roman"/>
          <w:sz w:val="24"/>
          <w:szCs w:val="24"/>
        </w:rPr>
        <w:t xml:space="preserve"> a measure of the </w:t>
      </w:r>
      <w:r w:rsidR="005418DE">
        <w:rPr>
          <w:rFonts w:ascii="Times New Roman" w:hAnsi="Times New Roman" w:cs="Times New Roman"/>
          <w:sz w:val="24"/>
          <w:szCs w:val="24"/>
        </w:rPr>
        <w:t>return on</w:t>
      </w:r>
      <w:r w:rsidR="00270309">
        <w:rPr>
          <w:rFonts w:ascii="Times New Roman" w:hAnsi="Times New Roman" w:cs="Times New Roman"/>
          <w:sz w:val="24"/>
          <w:szCs w:val="24"/>
        </w:rPr>
        <w:t xml:space="preserve"> investment.</w:t>
      </w:r>
    </w:p>
    <w:p w:rsidR="00CF7958" w:rsidRDefault="00CF7958" w:rsidP="008D745F">
      <w:pPr>
        <w:spacing w:after="0" w:line="360" w:lineRule="auto"/>
        <w:jc w:val="both"/>
        <w:rPr>
          <w:rFonts w:ascii="Times New Roman" w:hAnsi="Times New Roman" w:cs="Times New Roman"/>
          <w:sz w:val="24"/>
          <w:szCs w:val="24"/>
        </w:rPr>
      </w:pPr>
    </w:p>
    <w:p w:rsidR="00516EA1" w:rsidRDefault="004D35C5" w:rsidP="008D745F">
      <w:pPr>
        <w:spacing w:after="0" w:line="360" w:lineRule="auto"/>
        <w:jc w:val="both"/>
        <w:rPr>
          <w:rFonts w:ascii="Times New Roman" w:hAnsi="Times New Roman" w:cs="Times New Roman"/>
          <w:sz w:val="24"/>
          <w:szCs w:val="24"/>
        </w:rPr>
      </w:pPr>
      <w:r w:rsidRPr="00516EA1">
        <w:rPr>
          <w:rFonts w:ascii="Times New Roman" w:hAnsi="Times New Roman" w:cs="Times New Roman"/>
          <w:sz w:val="24"/>
          <w:szCs w:val="24"/>
        </w:rPr>
        <w:t>T</w:t>
      </w:r>
      <w:r w:rsidR="00AB6F47" w:rsidRPr="00516EA1">
        <w:rPr>
          <w:rFonts w:ascii="Times New Roman" w:hAnsi="Times New Roman" w:cs="Times New Roman"/>
          <w:sz w:val="24"/>
          <w:szCs w:val="24"/>
        </w:rPr>
        <w:t>h</w:t>
      </w:r>
      <w:r w:rsidR="006E2327">
        <w:rPr>
          <w:rFonts w:ascii="Times New Roman" w:hAnsi="Times New Roman" w:cs="Times New Roman"/>
          <w:sz w:val="24"/>
          <w:szCs w:val="24"/>
        </w:rPr>
        <w:t xml:space="preserve">e evaluation found </w:t>
      </w:r>
      <w:r w:rsidR="00AB6F47" w:rsidRPr="00516EA1">
        <w:rPr>
          <w:rFonts w:ascii="Times New Roman" w:hAnsi="Times New Roman" w:cs="Times New Roman"/>
          <w:sz w:val="24"/>
          <w:szCs w:val="24"/>
        </w:rPr>
        <w:t xml:space="preserve">marked differences </w:t>
      </w:r>
      <w:r w:rsidR="0030567A">
        <w:rPr>
          <w:rFonts w:ascii="Times New Roman" w:hAnsi="Times New Roman" w:cs="Times New Roman"/>
          <w:sz w:val="24"/>
          <w:szCs w:val="24"/>
        </w:rPr>
        <w:t xml:space="preserve">between </w:t>
      </w:r>
      <w:r w:rsidR="006E2327">
        <w:rPr>
          <w:rFonts w:ascii="Times New Roman" w:hAnsi="Times New Roman" w:cs="Times New Roman"/>
          <w:sz w:val="24"/>
          <w:szCs w:val="24"/>
        </w:rPr>
        <w:t xml:space="preserve">the </w:t>
      </w:r>
      <w:r w:rsidR="0030567A">
        <w:rPr>
          <w:rFonts w:ascii="Times New Roman" w:hAnsi="Times New Roman" w:cs="Times New Roman"/>
          <w:sz w:val="24"/>
          <w:szCs w:val="24"/>
        </w:rPr>
        <w:t xml:space="preserve">selected regions </w:t>
      </w:r>
      <w:r w:rsidR="00AB6F47" w:rsidRPr="00516EA1">
        <w:rPr>
          <w:rFonts w:ascii="Times New Roman" w:hAnsi="Times New Roman" w:cs="Times New Roman"/>
          <w:sz w:val="24"/>
          <w:szCs w:val="24"/>
        </w:rPr>
        <w:t>in the scale and number of projects funded under each axis and measure</w:t>
      </w:r>
      <w:r w:rsidR="00332D08">
        <w:rPr>
          <w:rFonts w:ascii="Times New Roman" w:hAnsi="Times New Roman" w:cs="Times New Roman"/>
          <w:sz w:val="24"/>
          <w:szCs w:val="24"/>
        </w:rPr>
        <w:t>.  This</w:t>
      </w:r>
      <w:r w:rsidR="00AB6F47" w:rsidRPr="00516EA1">
        <w:rPr>
          <w:rFonts w:ascii="Times New Roman" w:hAnsi="Times New Roman" w:cs="Times New Roman"/>
          <w:sz w:val="24"/>
          <w:szCs w:val="24"/>
        </w:rPr>
        <w:t xml:space="preserve"> reflect</w:t>
      </w:r>
      <w:r w:rsidR="00332D08">
        <w:rPr>
          <w:rFonts w:ascii="Times New Roman" w:hAnsi="Times New Roman" w:cs="Times New Roman"/>
          <w:sz w:val="24"/>
          <w:szCs w:val="24"/>
        </w:rPr>
        <w:t>ed</w:t>
      </w:r>
      <w:r w:rsidR="00AB6F47" w:rsidRPr="00516EA1">
        <w:rPr>
          <w:rFonts w:ascii="Times New Roman" w:hAnsi="Times New Roman" w:cs="Times New Roman"/>
          <w:sz w:val="24"/>
          <w:szCs w:val="24"/>
        </w:rPr>
        <w:t xml:space="preserve"> a conscious decision by some RDAs to spend time at the start of the programme building inter-sectoral partnerships</w:t>
      </w:r>
      <w:r w:rsidR="00013A69">
        <w:rPr>
          <w:rFonts w:ascii="Times New Roman" w:hAnsi="Times New Roman" w:cs="Times New Roman"/>
          <w:sz w:val="24"/>
          <w:szCs w:val="24"/>
        </w:rPr>
        <w:t xml:space="preserve"> </w:t>
      </w:r>
      <w:r w:rsidR="00EA098E">
        <w:rPr>
          <w:rFonts w:ascii="Times New Roman" w:hAnsi="Times New Roman" w:cs="Times New Roman"/>
          <w:sz w:val="24"/>
          <w:szCs w:val="24"/>
        </w:rPr>
        <w:t>among</w:t>
      </w:r>
      <w:r w:rsidR="00013A69">
        <w:rPr>
          <w:rFonts w:ascii="Times New Roman" w:hAnsi="Times New Roman" w:cs="Times New Roman"/>
          <w:sz w:val="24"/>
          <w:szCs w:val="24"/>
        </w:rPr>
        <w:t xml:space="preserve"> local stakeholder </w:t>
      </w:r>
      <w:r w:rsidR="00EA098E">
        <w:rPr>
          <w:rFonts w:ascii="Times New Roman" w:hAnsi="Times New Roman" w:cs="Times New Roman"/>
          <w:sz w:val="24"/>
          <w:szCs w:val="24"/>
        </w:rPr>
        <w:t>organisation</w:t>
      </w:r>
      <w:r w:rsidR="005507EA">
        <w:rPr>
          <w:rFonts w:ascii="Times New Roman" w:hAnsi="Times New Roman" w:cs="Times New Roman"/>
          <w:sz w:val="24"/>
          <w:szCs w:val="24"/>
        </w:rPr>
        <w:t>s</w:t>
      </w:r>
      <w:r w:rsidR="00332D08">
        <w:rPr>
          <w:rFonts w:ascii="Times New Roman" w:hAnsi="Times New Roman" w:cs="Times New Roman"/>
          <w:sz w:val="24"/>
          <w:szCs w:val="24"/>
        </w:rPr>
        <w:t xml:space="preserve"> </w:t>
      </w:r>
      <w:r w:rsidR="00AB6F47" w:rsidRPr="00516EA1">
        <w:rPr>
          <w:rFonts w:ascii="Times New Roman" w:hAnsi="Times New Roman" w:cs="Times New Roman"/>
          <w:sz w:val="24"/>
          <w:szCs w:val="24"/>
        </w:rPr>
        <w:t xml:space="preserve">to design </w:t>
      </w:r>
      <w:r w:rsidR="00EA098E">
        <w:rPr>
          <w:rFonts w:ascii="Times New Roman" w:hAnsi="Times New Roman" w:cs="Times New Roman"/>
          <w:sz w:val="24"/>
          <w:szCs w:val="24"/>
        </w:rPr>
        <w:t>and bid for</w:t>
      </w:r>
      <w:r w:rsidR="00AB6F47" w:rsidRPr="00516EA1">
        <w:rPr>
          <w:rFonts w:ascii="Times New Roman" w:hAnsi="Times New Roman" w:cs="Times New Roman"/>
          <w:sz w:val="24"/>
          <w:szCs w:val="24"/>
        </w:rPr>
        <w:t xml:space="preserve"> large initiatives</w:t>
      </w:r>
      <w:r w:rsidR="00332D08">
        <w:rPr>
          <w:rFonts w:ascii="Times New Roman" w:hAnsi="Times New Roman" w:cs="Times New Roman"/>
          <w:sz w:val="24"/>
          <w:szCs w:val="24"/>
        </w:rPr>
        <w:t xml:space="preserve"> </w:t>
      </w:r>
      <w:r w:rsidR="00EA098E">
        <w:rPr>
          <w:rFonts w:ascii="Times New Roman" w:hAnsi="Times New Roman" w:cs="Times New Roman"/>
          <w:sz w:val="24"/>
          <w:szCs w:val="24"/>
        </w:rPr>
        <w:t>(confusingly also called ‘programmes’)</w:t>
      </w:r>
      <w:r w:rsidR="00332D08">
        <w:rPr>
          <w:rFonts w:ascii="Times New Roman" w:hAnsi="Times New Roman" w:cs="Times New Roman"/>
          <w:sz w:val="24"/>
          <w:szCs w:val="24"/>
        </w:rPr>
        <w:t xml:space="preserve"> integrating the delivery of</w:t>
      </w:r>
      <w:r w:rsidR="00AB6F47" w:rsidRPr="00516EA1">
        <w:rPr>
          <w:rFonts w:ascii="Times New Roman" w:hAnsi="Times New Roman" w:cs="Times New Roman"/>
          <w:sz w:val="24"/>
          <w:szCs w:val="24"/>
        </w:rPr>
        <w:t xml:space="preserve"> a number of measures. </w:t>
      </w:r>
      <w:r w:rsidR="008477D0">
        <w:rPr>
          <w:rFonts w:ascii="Times New Roman" w:hAnsi="Times New Roman" w:cs="Times New Roman"/>
          <w:sz w:val="24"/>
          <w:szCs w:val="24"/>
        </w:rPr>
        <w:t xml:space="preserve"> I</w:t>
      </w:r>
      <w:r w:rsidR="00AB6F47" w:rsidRPr="00516EA1">
        <w:rPr>
          <w:rFonts w:ascii="Times New Roman" w:hAnsi="Times New Roman" w:cs="Times New Roman"/>
          <w:sz w:val="24"/>
          <w:szCs w:val="24"/>
        </w:rPr>
        <w:t xml:space="preserve">n South-West England, </w:t>
      </w:r>
      <w:r w:rsidR="007F3CAF">
        <w:rPr>
          <w:rFonts w:ascii="Times New Roman" w:hAnsi="Times New Roman" w:cs="Times New Roman"/>
          <w:sz w:val="24"/>
          <w:szCs w:val="24"/>
        </w:rPr>
        <w:t xml:space="preserve">for example, </w:t>
      </w:r>
      <w:r w:rsidR="00AB6F47" w:rsidRPr="00516EA1">
        <w:rPr>
          <w:rFonts w:ascii="Times New Roman" w:hAnsi="Times New Roman" w:cs="Times New Roman"/>
          <w:sz w:val="24"/>
          <w:szCs w:val="24"/>
        </w:rPr>
        <w:t>four large ‘</w:t>
      </w:r>
      <w:r w:rsidR="009F2832">
        <w:rPr>
          <w:rFonts w:ascii="Times New Roman" w:hAnsi="Times New Roman" w:cs="Times New Roman"/>
          <w:sz w:val="24"/>
          <w:szCs w:val="24"/>
        </w:rPr>
        <w:t xml:space="preserve">regional scale </w:t>
      </w:r>
      <w:r w:rsidR="00AB6F47" w:rsidRPr="00516EA1">
        <w:rPr>
          <w:rFonts w:ascii="Times New Roman" w:hAnsi="Times New Roman" w:cs="Times New Roman"/>
          <w:sz w:val="24"/>
          <w:szCs w:val="24"/>
        </w:rPr>
        <w:t>programmes’ effectively d</w:t>
      </w:r>
      <w:r w:rsidRPr="00516EA1">
        <w:rPr>
          <w:rFonts w:ascii="Times New Roman" w:hAnsi="Times New Roman" w:cs="Times New Roman"/>
          <w:sz w:val="24"/>
          <w:szCs w:val="24"/>
        </w:rPr>
        <w:t xml:space="preserve">ominated </w:t>
      </w:r>
      <w:r w:rsidR="009F2832">
        <w:rPr>
          <w:rFonts w:ascii="Times New Roman" w:hAnsi="Times New Roman" w:cs="Times New Roman"/>
          <w:sz w:val="24"/>
          <w:szCs w:val="24"/>
        </w:rPr>
        <w:t>the</w:t>
      </w:r>
      <w:r w:rsidR="009F2832" w:rsidRPr="00516EA1">
        <w:rPr>
          <w:rFonts w:ascii="Times New Roman" w:hAnsi="Times New Roman" w:cs="Times New Roman"/>
          <w:sz w:val="24"/>
          <w:szCs w:val="24"/>
        </w:rPr>
        <w:t xml:space="preserve"> </w:t>
      </w:r>
      <w:r w:rsidRPr="00516EA1">
        <w:rPr>
          <w:rFonts w:ascii="Times New Roman" w:hAnsi="Times New Roman" w:cs="Times New Roman"/>
          <w:sz w:val="24"/>
          <w:szCs w:val="24"/>
        </w:rPr>
        <w:t xml:space="preserve">RDP </w:t>
      </w:r>
      <w:r w:rsidR="007B1A07" w:rsidRPr="00516EA1">
        <w:rPr>
          <w:rFonts w:ascii="Times New Roman" w:hAnsi="Times New Roman" w:cs="Times New Roman"/>
          <w:sz w:val="24"/>
          <w:szCs w:val="24"/>
        </w:rPr>
        <w:t xml:space="preserve">spending; </w:t>
      </w:r>
      <w:r w:rsidR="007F3CAF">
        <w:rPr>
          <w:rFonts w:ascii="Times New Roman" w:hAnsi="Times New Roman" w:cs="Times New Roman"/>
          <w:sz w:val="24"/>
          <w:szCs w:val="24"/>
        </w:rPr>
        <w:t xml:space="preserve">while in the North-West region a single </w:t>
      </w:r>
      <w:r w:rsidR="00EA098E">
        <w:rPr>
          <w:rFonts w:ascii="Times New Roman" w:hAnsi="Times New Roman" w:cs="Times New Roman"/>
          <w:sz w:val="24"/>
          <w:szCs w:val="24"/>
        </w:rPr>
        <w:t>initiative</w:t>
      </w:r>
      <w:r w:rsidR="007F3CAF">
        <w:rPr>
          <w:rFonts w:ascii="Times New Roman" w:hAnsi="Times New Roman" w:cs="Times New Roman"/>
          <w:sz w:val="24"/>
          <w:szCs w:val="24"/>
        </w:rPr>
        <w:t>, the</w:t>
      </w:r>
      <w:r w:rsidR="007F3CAF" w:rsidRPr="00516EA1">
        <w:rPr>
          <w:rFonts w:ascii="Times New Roman" w:hAnsi="Times New Roman" w:cs="Times New Roman"/>
          <w:sz w:val="24"/>
          <w:szCs w:val="24"/>
        </w:rPr>
        <w:t xml:space="preserve"> North West Livestock </w:t>
      </w:r>
      <w:r w:rsidR="0030567A">
        <w:rPr>
          <w:rFonts w:ascii="Times New Roman" w:hAnsi="Times New Roman" w:cs="Times New Roman"/>
          <w:sz w:val="24"/>
          <w:szCs w:val="24"/>
        </w:rPr>
        <w:t>P</w:t>
      </w:r>
      <w:r w:rsidR="007F3CAF" w:rsidRPr="00516EA1">
        <w:rPr>
          <w:rFonts w:ascii="Times New Roman" w:hAnsi="Times New Roman" w:cs="Times New Roman"/>
          <w:sz w:val="24"/>
          <w:szCs w:val="24"/>
        </w:rPr>
        <w:t>rogramme (NWLP)</w:t>
      </w:r>
      <w:r w:rsidR="007F3CAF">
        <w:rPr>
          <w:rFonts w:ascii="Times New Roman" w:hAnsi="Times New Roman" w:cs="Times New Roman"/>
          <w:sz w:val="24"/>
          <w:szCs w:val="24"/>
        </w:rPr>
        <w:t>, integrat</w:t>
      </w:r>
      <w:r w:rsidR="007F3CAF" w:rsidRPr="00516EA1">
        <w:rPr>
          <w:rFonts w:ascii="Times New Roman" w:hAnsi="Times New Roman" w:cs="Times New Roman"/>
          <w:sz w:val="24"/>
          <w:szCs w:val="24"/>
        </w:rPr>
        <w:t>ed advice, support and small</w:t>
      </w:r>
      <w:r w:rsidR="0030567A">
        <w:rPr>
          <w:rFonts w:ascii="Times New Roman" w:hAnsi="Times New Roman" w:cs="Times New Roman"/>
          <w:sz w:val="24"/>
          <w:szCs w:val="24"/>
        </w:rPr>
        <w:t>-</w:t>
      </w:r>
      <w:r w:rsidR="007F3CAF" w:rsidRPr="00516EA1">
        <w:rPr>
          <w:rFonts w:ascii="Times New Roman" w:hAnsi="Times New Roman" w:cs="Times New Roman"/>
          <w:sz w:val="24"/>
          <w:szCs w:val="24"/>
        </w:rPr>
        <w:t>scale grant</w:t>
      </w:r>
      <w:r w:rsidR="007F3CAF">
        <w:rPr>
          <w:rFonts w:ascii="Times New Roman" w:hAnsi="Times New Roman" w:cs="Times New Roman"/>
          <w:sz w:val="24"/>
          <w:szCs w:val="24"/>
        </w:rPr>
        <w:t>s</w:t>
      </w:r>
      <w:r w:rsidR="007F3CAF" w:rsidRPr="00516EA1">
        <w:rPr>
          <w:rFonts w:ascii="Times New Roman" w:hAnsi="Times New Roman" w:cs="Times New Roman"/>
          <w:sz w:val="24"/>
          <w:szCs w:val="24"/>
        </w:rPr>
        <w:t xml:space="preserve"> to improve animal health and welfare, resource </w:t>
      </w:r>
      <w:r w:rsidR="007F3CAF" w:rsidRPr="00516EA1">
        <w:rPr>
          <w:rFonts w:ascii="Times New Roman" w:hAnsi="Times New Roman" w:cs="Times New Roman"/>
          <w:sz w:val="24"/>
          <w:szCs w:val="24"/>
        </w:rPr>
        <w:lastRenderedPageBreak/>
        <w:t>efficiency</w:t>
      </w:r>
      <w:r w:rsidR="00F00B6B">
        <w:rPr>
          <w:rFonts w:ascii="Times New Roman" w:hAnsi="Times New Roman" w:cs="Times New Roman"/>
          <w:sz w:val="24"/>
          <w:szCs w:val="24"/>
        </w:rPr>
        <w:t xml:space="preserve"> (water, energy</w:t>
      </w:r>
      <w:r w:rsidR="0030567A">
        <w:rPr>
          <w:rFonts w:ascii="Times New Roman" w:hAnsi="Times New Roman" w:cs="Times New Roman"/>
          <w:sz w:val="24"/>
          <w:szCs w:val="24"/>
        </w:rPr>
        <w:t xml:space="preserve"> and fertilisers)</w:t>
      </w:r>
      <w:r w:rsidR="007F3CAF" w:rsidRPr="00516EA1">
        <w:rPr>
          <w:rFonts w:ascii="Times New Roman" w:hAnsi="Times New Roman" w:cs="Times New Roman"/>
          <w:sz w:val="24"/>
          <w:szCs w:val="24"/>
        </w:rPr>
        <w:t xml:space="preserve"> and nutrient m</w:t>
      </w:r>
      <w:r w:rsidR="007F3CAF">
        <w:rPr>
          <w:rFonts w:ascii="Times New Roman" w:hAnsi="Times New Roman" w:cs="Times New Roman"/>
          <w:sz w:val="24"/>
          <w:szCs w:val="24"/>
        </w:rPr>
        <w:t>anagement</w:t>
      </w:r>
      <w:r w:rsidR="00AB1D5B">
        <w:rPr>
          <w:rFonts w:ascii="Times New Roman" w:hAnsi="Times New Roman" w:cs="Times New Roman"/>
          <w:sz w:val="24"/>
          <w:szCs w:val="24"/>
        </w:rPr>
        <w:t xml:space="preserve">. </w:t>
      </w:r>
      <w:r w:rsidR="0052456F">
        <w:rPr>
          <w:rFonts w:ascii="Times New Roman" w:hAnsi="Times New Roman" w:cs="Times New Roman"/>
          <w:sz w:val="24"/>
          <w:szCs w:val="24"/>
        </w:rPr>
        <w:t xml:space="preserve"> </w:t>
      </w:r>
      <w:r w:rsidR="00EA098E">
        <w:rPr>
          <w:rFonts w:ascii="Times New Roman" w:hAnsi="Times New Roman" w:cs="Times New Roman"/>
          <w:sz w:val="24"/>
          <w:szCs w:val="24"/>
        </w:rPr>
        <w:t>For the RDAs, the</w:t>
      </w:r>
      <w:r w:rsidR="0052456F">
        <w:rPr>
          <w:rFonts w:ascii="Times New Roman" w:hAnsi="Times New Roman" w:cs="Times New Roman"/>
          <w:sz w:val="24"/>
          <w:szCs w:val="24"/>
        </w:rPr>
        <w:t xml:space="preserve"> advantage</w:t>
      </w:r>
      <w:r w:rsidR="00332D08">
        <w:rPr>
          <w:rFonts w:ascii="Times New Roman" w:hAnsi="Times New Roman" w:cs="Times New Roman"/>
          <w:sz w:val="24"/>
          <w:szCs w:val="24"/>
        </w:rPr>
        <w:t>s</w:t>
      </w:r>
      <w:r w:rsidR="0052456F">
        <w:rPr>
          <w:rFonts w:ascii="Times New Roman" w:hAnsi="Times New Roman" w:cs="Times New Roman"/>
          <w:sz w:val="24"/>
          <w:szCs w:val="24"/>
        </w:rPr>
        <w:t xml:space="preserve"> of integrated schemes</w:t>
      </w:r>
      <w:r w:rsidR="00332D08">
        <w:rPr>
          <w:rFonts w:ascii="Times New Roman" w:hAnsi="Times New Roman" w:cs="Times New Roman"/>
          <w:sz w:val="24"/>
          <w:szCs w:val="24"/>
        </w:rPr>
        <w:t xml:space="preserve"> included:</w:t>
      </w:r>
      <w:r w:rsidR="0052456F">
        <w:rPr>
          <w:rFonts w:ascii="Times New Roman" w:hAnsi="Times New Roman" w:cs="Times New Roman"/>
          <w:sz w:val="24"/>
          <w:szCs w:val="24"/>
        </w:rPr>
        <w:t xml:space="preserve"> absor</w:t>
      </w:r>
      <w:r w:rsidR="00332D08">
        <w:rPr>
          <w:rFonts w:ascii="Times New Roman" w:hAnsi="Times New Roman" w:cs="Times New Roman"/>
          <w:sz w:val="24"/>
          <w:szCs w:val="24"/>
        </w:rPr>
        <w:t>ption</w:t>
      </w:r>
      <w:r w:rsidR="0052456F">
        <w:rPr>
          <w:rFonts w:ascii="Times New Roman" w:hAnsi="Times New Roman" w:cs="Times New Roman"/>
          <w:sz w:val="24"/>
          <w:szCs w:val="24"/>
        </w:rPr>
        <w:t xml:space="preserve"> </w:t>
      </w:r>
      <w:r w:rsidR="00332D08">
        <w:rPr>
          <w:rFonts w:ascii="Times New Roman" w:hAnsi="Times New Roman" w:cs="Times New Roman"/>
          <w:sz w:val="24"/>
          <w:szCs w:val="24"/>
        </w:rPr>
        <w:t>of</w:t>
      </w:r>
      <w:r w:rsidR="0052456F">
        <w:rPr>
          <w:rFonts w:ascii="Times New Roman" w:hAnsi="Times New Roman" w:cs="Times New Roman"/>
          <w:sz w:val="24"/>
          <w:szCs w:val="24"/>
        </w:rPr>
        <w:t xml:space="preserve"> a large portion of RDP funding</w:t>
      </w:r>
      <w:r w:rsidR="00332D08">
        <w:rPr>
          <w:rFonts w:ascii="Times New Roman" w:hAnsi="Times New Roman" w:cs="Times New Roman"/>
          <w:sz w:val="24"/>
          <w:szCs w:val="24"/>
        </w:rPr>
        <w:t>;</w:t>
      </w:r>
      <w:r w:rsidR="0052456F">
        <w:rPr>
          <w:rFonts w:ascii="Times New Roman" w:hAnsi="Times New Roman" w:cs="Times New Roman"/>
          <w:sz w:val="24"/>
          <w:szCs w:val="24"/>
        </w:rPr>
        <w:t xml:space="preserve"> savings provided by joint delivery</w:t>
      </w:r>
      <w:r w:rsidR="00EA098E">
        <w:rPr>
          <w:rFonts w:ascii="Times New Roman" w:hAnsi="Times New Roman" w:cs="Times New Roman"/>
          <w:sz w:val="24"/>
          <w:szCs w:val="24"/>
        </w:rPr>
        <w:t xml:space="preserve"> of several measures which also</w:t>
      </w:r>
      <w:r w:rsidR="0052456F">
        <w:rPr>
          <w:rFonts w:ascii="Times New Roman" w:hAnsi="Times New Roman" w:cs="Times New Roman"/>
          <w:sz w:val="24"/>
          <w:szCs w:val="24"/>
        </w:rPr>
        <w:t xml:space="preserve"> </w:t>
      </w:r>
      <w:r w:rsidR="00332D08">
        <w:rPr>
          <w:rFonts w:ascii="Times New Roman" w:hAnsi="Times New Roman" w:cs="Times New Roman"/>
          <w:sz w:val="24"/>
          <w:szCs w:val="24"/>
        </w:rPr>
        <w:t>ma</w:t>
      </w:r>
      <w:r w:rsidR="00EA098E">
        <w:rPr>
          <w:rFonts w:ascii="Times New Roman" w:hAnsi="Times New Roman" w:cs="Times New Roman"/>
          <w:sz w:val="24"/>
          <w:szCs w:val="24"/>
        </w:rPr>
        <w:t>de</w:t>
      </w:r>
      <w:r w:rsidR="0052456F">
        <w:rPr>
          <w:rFonts w:ascii="Times New Roman" w:hAnsi="Times New Roman" w:cs="Times New Roman"/>
          <w:sz w:val="24"/>
          <w:szCs w:val="24"/>
        </w:rPr>
        <w:t xml:space="preserve"> it easier for participants to access a wide range of support</w:t>
      </w:r>
      <w:r w:rsidR="00332D08">
        <w:rPr>
          <w:rFonts w:ascii="Times New Roman" w:hAnsi="Times New Roman" w:cs="Times New Roman"/>
          <w:sz w:val="24"/>
          <w:szCs w:val="24"/>
        </w:rPr>
        <w:t>;</w:t>
      </w:r>
      <w:r w:rsidR="0052456F">
        <w:rPr>
          <w:rFonts w:ascii="Times New Roman" w:hAnsi="Times New Roman" w:cs="Times New Roman"/>
          <w:sz w:val="24"/>
          <w:szCs w:val="24"/>
        </w:rPr>
        <w:t xml:space="preserve"> and</w:t>
      </w:r>
      <w:r w:rsidR="00EA098E">
        <w:rPr>
          <w:rFonts w:ascii="Times New Roman" w:hAnsi="Times New Roman" w:cs="Times New Roman"/>
          <w:sz w:val="24"/>
          <w:szCs w:val="24"/>
        </w:rPr>
        <w:t xml:space="preserve"> a</w:t>
      </w:r>
      <w:r w:rsidR="0052456F">
        <w:rPr>
          <w:rFonts w:ascii="Times New Roman" w:hAnsi="Times New Roman" w:cs="Times New Roman"/>
          <w:sz w:val="24"/>
          <w:szCs w:val="24"/>
        </w:rPr>
        <w:t xml:space="preserve"> reduced administrative burden </w:t>
      </w:r>
      <w:r w:rsidR="00332D08">
        <w:rPr>
          <w:rFonts w:ascii="Times New Roman" w:hAnsi="Times New Roman" w:cs="Times New Roman"/>
          <w:sz w:val="24"/>
          <w:szCs w:val="24"/>
        </w:rPr>
        <w:t>(for example</w:t>
      </w:r>
      <w:r w:rsidR="006E2327">
        <w:rPr>
          <w:rFonts w:ascii="Times New Roman" w:hAnsi="Times New Roman" w:cs="Times New Roman"/>
          <w:sz w:val="24"/>
          <w:szCs w:val="24"/>
        </w:rPr>
        <w:t>,</w:t>
      </w:r>
      <w:r w:rsidR="0052456F">
        <w:rPr>
          <w:rFonts w:ascii="Times New Roman" w:hAnsi="Times New Roman" w:cs="Times New Roman"/>
          <w:sz w:val="24"/>
          <w:szCs w:val="24"/>
        </w:rPr>
        <w:t xml:space="preserve"> once a farmer had applied for one element of an integrated scheme, </w:t>
      </w:r>
      <w:r w:rsidR="00EA098E">
        <w:rPr>
          <w:rFonts w:ascii="Times New Roman" w:hAnsi="Times New Roman" w:cs="Times New Roman"/>
          <w:sz w:val="24"/>
          <w:szCs w:val="24"/>
        </w:rPr>
        <w:t>his/her</w:t>
      </w:r>
      <w:r w:rsidR="0052456F">
        <w:rPr>
          <w:rFonts w:ascii="Times New Roman" w:hAnsi="Times New Roman" w:cs="Times New Roman"/>
          <w:sz w:val="24"/>
          <w:szCs w:val="24"/>
        </w:rPr>
        <w:t xml:space="preserve"> business details were </w:t>
      </w:r>
      <w:r w:rsidR="00D14772">
        <w:rPr>
          <w:rFonts w:ascii="Times New Roman" w:hAnsi="Times New Roman" w:cs="Times New Roman"/>
          <w:sz w:val="24"/>
          <w:szCs w:val="24"/>
        </w:rPr>
        <w:t>retained centrally to enable speedier subsequent applications</w:t>
      </w:r>
      <w:r w:rsidR="00332D08">
        <w:rPr>
          <w:rFonts w:ascii="Times New Roman" w:hAnsi="Times New Roman" w:cs="Times New Roman"/>
          <w:sz w:val="24"/>
          <w:szCs w:val="24"/>
        </w:rPr>
        <w:t>)</w:t>
      </w:r>
      <w:r w:rsidR="0052456F">
        <w:rPr>
          <w:rFonts w:ascii="Times New Roman" w:hAnsi="Times New Roman" w:cs="Times New Roman"/>
          <w:sz w:val="24"/>
          <w:szCs w:val="24"/>
        </w:rPr>
        <w:t xml:space="preserve">.  </w:t>
      </w:r>
    </w:p>
    <w:p w:rsidR="000403BD" w:rsidRPr="00516EA1" w:rsidRDefault="000403BD" w:rsidP="008D745F">
      <w:pPr>
        <w:spacing w:after="0" w:line="360" w:lineRule="auto"/>
        <w:jc w:val="both"/>
        <w:rPr>
          <w:rFonts w:ascii="Times New Roman" w:hAnsi="Times New Roman" w:cs="Times New Roman"/>
          <w:sz w:val="24"/>
          <w:szCs w:val="24"/>
        </w:rPr>
      </w:pPr>
    </w:p>
    <w:p w:rsidR="00B1528D" w:rsidRDefault="00AB205E" w:rsidP="008D74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BF457B">
        <w:rPr>
          <w:rFonts w:ascii="Times New Roman" w:hAnsi="Times New Roman" w:cs="Times New Roman"/>
          <w:sz w:val="24"/>
          <w:szCs w:val="24"/>
        </w:rPr>
        <w:t>3</w:t>
      </w:r>
      <w:r w:rsidR="001154E2">
        <w:rPr>
          <w:rFonts w:ascii="Times New Roman" w:hAnsi="Times New Roman" w:cs="Times New Roman"/>
          <w:sz w:val="24"/>
          <w:szCs w:val="24"/>
        </w:rPr>
        <w:t xml:space="preserve"> </w:t>
      </w:r>
      <w:r>
        <w:rPr>
          <w:rFonts w:ascii="Times New Roman" w:hAnsi="Times New Roman" w:cs="Times New Roman"/>
          <w:sz w:val="24"/>
          <w:szCs w:val="24"/>
        </w:rPr>
        <w:t xml:space="preserve">highlights the range of </w:t>
      </w:r>
      <w:r w:rsidR="00EC168A">
        <w:rPr>
          <w:rFonts w:ascii="Times New Roman" w:hAnsi="Times New Roman" w:cs="Times New Roman"/>
          <w:sz w:val="24"/>
          <w:szCs w:val="24"/>
        </w:rPr>
        <w:t xml:space="preserve">attributes </w:t>
      </w:r>
      <w:r>
        <w:rPr>
          <w:rFonts w:ascii="Times New Roman" w:hAnsi="Times New Roman" w:cs="Times New Roman"/>
          <w:sz w:val="24"/>
          <w:szCs w:val="24"/>
        </w:rPr>
        <w:t xml:space="preserve">associated with </w:t>
      </w:r>
      <w:r w:rsidR="007527A7">
        <w:rPr>
          <w:rFonts w:ascii="Times New Roman" w:hAnsi="Times New Roman" w:cs="Times New Roman"/>
          <w:sz w:val="24"/>
          <w:szCs w:val="24"/>
        </w:rPr>
        <w:t>programme delivery</w:t>
      </w:r>
      <w:r w:rsidR="005C285F">
        <w:rPr>
          <w:rFonts w:ascii="Times New Roman" w:hAnsi="Times New Roman" w:cs="Times New Roman"/>
          <w:sz w:val="24"/>
          <w:szCs w:val="24"/>
        </w:rPr>
        <w:t xml:space="preserve"> (for </w:t>
      </w:r>
      <w:r w:rsidR="007F3CAF">
        <w:rPr>
          <w:rFonts w:ascii="Times New Roman" w:hAnsi="Times New Roman" w:cs="Times New Roman"/>
          <w:sz w:val="24"/>
          <w:szCs w:val="24"/>
        </w:rPr>
        <w:t xml:space="preserve">more </w:t>
      </w:r>
      <w:r w:rsidR="005C285F">
        <w:rPr>
          <w:rFonts w:ascii="Times New Roman" w:hAnsi="Times New Roman" w:cs="Times New Roman"/>
          <w:sz w:val="24"/>
          <w:szCs w:val="24"/>
        </w:rPr>
        <w:t xml:space="preserve">detail, see Powell </w:t>
      </w:r>
      <w:r w:rsidR="0009291A">
        <w:rPr>
          <w:rFonts w:ascii="Times New Roman" w:hAnsi="Times New Roman" w:cs="Times New Roman"/>
          <w:sz w:val="24"/>
          <w:szCs w:val="24"/>
        </w:rPr>
        <w:t>and Courtney,</w:t>
      </w:r>
      <w:r w:rsidR="005C285F">
        <w:rPr>
          <w:rFonts w:ascii="Times New Roman" w:hAnsi="Times New Roman" w:cs="Times New Roman"/>
          <w:sz w:val="24"/>
          <w:szCs w:val="24"/>
        </w:rPr>
        <w:t xml:space="preserve"> 2013)</w:t>
      </w:r>
      <w:r w:rsidR="00EA098E">
        <w:rPr>
          <w:rFonts w:ascii="Times New Roman" w:hAnsi="Times New Roman" w:cs="Times New Roman"/>
          <w:sz w:val="24"/>
          <w:szCs w:val="24"/>
        </w:rPr>
        <w:t>. B</w:t>
      </w:r>
      <w:r w:rsidR="00CD0B6A">
        <w:rPr>
          <w:rFonts w:ascii="Times New Roman" w:hAnsi="Times New Roman" w:cs="Times New Roman"/>
          <w:sz w:val="24"/>
          <w:szCs w:val="24"/>
        </w:rPr>
        <w:t xml:space="preserve">oth </w:t>
      </w:r>
      <w:r w:rsidR="00D14772">
        <w:rPr>
          <w:rFonts w:ascii="Times New Roman" w:hAnsi="Times New Roman" w:cs="Times New Roman"/>
          <w:sz w:val="24"/>
          <w:szCs w:val="24"/>
        </w:rPr>
        <w:t xml:space="preserve">the pre-2010 </w:t>
      </w:r>
      <w:r w:rsidR="00CD0B6A">
        <w:rPr>
          <w:rFonts w:ascii="Times New Roman" w:hAnsi="Times New Roman" w:cs="Times New Roman"/>
          <w:sz w:val="24"/>
          <w:szCs w:val="24"/>
        </w:rPr>
        <w:t xml:space="preserve">regional and </w:t>
      </w:r>
      <w:r w:rsidR="00D14772">
        <w:rPr>
          <w:rFonts w:ascii="Times New Roman" w:hAnsi="Times New Roman" w:cs="Times New Roman"/>
          <w:sz w:val="24"/>
          <w:szCs w:val="24"/>
        </w:rPr>
        <w:t xml:space="preserve">post-2010 </w:t>
      </w:r>
      <w:r w:rsidR="00CD0B6A">
        <w:rPr>
          <w:rFonts w:ascii="Times New Roman" w:hAnsi="Times New Roman" w:cs="Times New Roman"/>
          <w:sz w:val="24"/>
          <w:szCs w:val="24"/>
        </w:rPr>
        <w:t xml:space="preserve">centralised delivery approaches </w:t>
      </w:r>
      <w:r w:rsidR="00EA098E">
        <w:rPr>
          <w:rFonts w:ascii="Times New Roman" w:hAnsi="Times New Roman" w:cs="Times New Roman"/>
          <w:sz w:val="24"/>
          <w:szCs w:val="24"/>
        </w:rPr>
        <w:t>had</w:t>
      </w:r>
      <w:r w:rsidR="00CD0B6A">
        <w:rPr>
          <w:rFonts w:ascii="Times New Roman" w:hAnsi="Times New Roman" w:cs="Times New Roman"/>
          <w:sz w:val="24"/>
          <w:szCs w:val="24"/>
        </w:rPr>
        <w:t xml:space="preserve"> a mix of negative (costs) and positive (benefits) </w:t>
      </w:r>
      <w:r w:rsidR="00701D81">
        <w:rPr>
          <w:rFonts w:ascii="Times New Roman" w:hAnsi="Times New Roman" w:cs="Times New Roman"/>
          <w:sz w:val="24"/>
          <w:szCs w:val="24"/>
        </w:rPr>
        <w:t xml:space="preserve">resulting from </w:t>
      </w:r>
      <w:r w:rsidR="00CD0B6A">
        <w:rPr>
          <w:rFonts w:ascii="Times New Roman" w:hAnsi="Times New Roman" w:cs="Times New Roman"/>
          <w:sz w:val="24"/>
          <w:szCs w:val="24"/>
        </w:rPr>
        <w:t xml:space="preserve">transaction </w:t>
      </w:r>
      <w:r w:rsidR="00701D81">
        <w:rPr>
          <w:rFonts w:ascii="Times New Roman" w:hAnsi="Times New Roman" w:cs="Times New Roman"/>
          <w:sz w:val="24"/>
          <w:szCs w:val="24"/>
        </w:rPr>
        <w:t>processes</w:t>
      </w:r>
      <w:r w:rsidR="00CD0B6A">
        <w:rPr>
          <w:rFonts w:ascii="Times New Roman" w:hAnsi="Times New Roman" w:cs="Times New Roman"/>
          <w:sz w:val="24"/>
          <w:szCs w:val="24"/>
        </w:rPr>
        <w:t xml:space="preserve">.  </w:t>
      </w:r>
      <w:r w:rsidR="0001745D">
        <w:rPr>
          <w:rFonts w:ascii="Times New Roman" w:hAnsi="Times New Roman" w:cs="Times New Roman"/>
          <w:sz w:val="24"/>
          <w:szCs w:val="24"/>
        </w:rPr>
        <w:t>Regional delivery</w:t>
      </w:r>
      <w:r w:rsidR="00CD0B6A">
        <w:rPr>
          <w:rFonts w:ascii="Times New Roman" w:hAnsi="Times New Roman" w:cs="Times New Roman"/>
          <w:sz w:val="24"/>
          <w:szCs w:val="24"/>
        </w:rPr>
        <w:t xml:space="preserve">, for example, resulted in </w:t>
      </w:r>
      <w:r w:rsidR="0001745D">
        <w:rPr>
          <w:rFonts w:ascii="Times New Roman" w:hAnsi="Times New Roman" w:cs="Times New Roman"/>
          <w:sz w:val="24"/>
          <w:szCs w:val="24"/>
        </w:rPr>
        <w:t>higher</w:t>
      </w:r>
      <w:r w:rsidR="00E776E9">
        <w:rPr>
          <w:rFonts w:ascii="Times New Roman" w:hAnsi="Times New Roman" w:cs="Times New Roman"/>
          <w:sz w:val="24"/>
          <w:szCs w:val="24"/>
        </w:rPr>
        <w:t xml:space="preserve"> total</w:t>
      </w:r>
      <w:r w:rsidR="0001745D">
        <w:rPr>
          <w:rFonts w:ascii="Times New Roman" w:hAnsi="Times New Roman" w:cs="Times New Roman"/>
          <w:sz w:val="24"/>
          <w:szCs w:val="24"/>
        </w:rPr>
        <w:t xml:space="preserve"> admin</w:t>
      </w:r>
      <w:r w:rsidR="00CD0B6A">
        <w:rPr>
          <w:rFonts w:ascii="Times New Roman" w:hAnsi="Times New Roman" w:cs="Times New Roman"/>
          <w:sz w:val="24"/>
          <w:szCs w:val="24"/>
        </w:rPr>
        <w:t>istration</w:t>
      </w:r>
      <w:r w:rsidR="0001745D">
        <w:rPr>
          <w:rFonts w:ascii="Times New Roman" w:hAnsi="Times New Roman" w:cs="Times New Roman"/>
          <w:sz w:val="24"/>
          <w:szCs w:val="24"/>
        </w:rPr>
        <w:t xml:space="preserve"> costs</w:t>
      </w:r>
      <w:r w:rsidR="00CD0B6A">
        <w:rPr>
          <w:rFonts w:ascii="Times New Roman" w:hAnsi="Times New Roman" w:cs="Times New Roman"/>
          <w:sz w:val="24"/>
          <w:szCs w:val="24"/>
        </w:rPr>
        <w:t xml:space="preserve">, </w:t>
      </w:r>
      <w:r w:rsidR="00E776E9">
        <w:rPr>
          <w:rFonts w:ascii="Times New Roman" w:hAnsi="Times New Roman" w:cs="Times New Roman"/>
          <w:sz w:val="24"/>
          <w:szCs w:val="24"/>
        </w:rPr>
        <w:t xml:space="preserve">as </w:t>
      </w:r>
      <w:r w:rsidR="00CD0B6A">
        <w:rPr>
          <w:rFonts w:ascii="Times New Roman" w:hAnsi="Times New Roman" w:cs="Times New Roman"/>
          <w:sz w:val="24"/>
          <w:szCs w:val="24"/>
        </w:rPr>
        <w:t xml:space="preserve">regions tended to provide more advisory support to applicants and </w:t>
      </w:r>
      <w:r w:rsidR="00E776E9">
        <w:rPr>
          <w:rFonts w:ascii="Times New Roman" w:hAnsi="Times New Roman" w:cs="Times New Roman"/>
          <w:sz w:val="24"/>
          <w:szCs w:val="24"/>
        </w:rPr>
        <w:t>b</w:t>
      </w:r>
      <w:r w:rsidR="00CD0B6A">
        <w:rPr>
          <w:rFonts w:ascii="Times New Roman" w:hAnsi="Times New Roman" w:cs="Times New Roman"/>
          <w:sz w:val="24"/>
          <w:szCs w:val="24"/>
        </w:rPr>
        <w:t xml:space="preserve">ecause administrative </w:t>
      </w:r>
      <w:r w:rsidR="0009508A">
        <w:rPr>
          <w:rFonts w:ascii="Times New Roman" w:hAnsi="Times New Roman" w:cs="Times New Roman"/>
          <w:sz w:val="24"/>
          <w:szCs w:val="24"/>
        </w:rPr>
        <w:t>and decision</w:t>
      </w:r>
      <w:r w:rsidR="0030567A">
        <w:rPr>
          <w:rFonts w:ascii="Times New Roman" w:hAnsi="Times New Roman" w:cs="Times New Roman"/>
          <w:sz w:val="24"/>
          <w:szCs w:val="24"/>
        </w:rPr>
        <w:t>-</w:t>
      </w:r>
      <w:r w:rsidR="0009508A">
        <w:rPr>
          <w:rFonts w:ascii="Times New Roman" w:hAnsi="Times New Roman" w:cs="Times New Roman"/>
          <w:sz w:val="24"/>
          <w:szCs w:val="24"/>
        </w:rPr>
        <w:t xml:space="preserve">making </w:t>
      </w:r>
      <w:r w:rsidR="009B62E8">
        <w:rPr>
          <w:rFonts w:ascii="Times New Roman" w:hAnsi="Times New Roman" w:cs="Times New Roman"/>
          <w:sz w:val="24"/>
          <w:szCs w:val="24"/>
        </w:rPr>
        <w:t>processe</w:t>
      </w:r>
      <w:r w:rsidR="00CD0B6A">
        <w:rPr>
          <w:rFonts w:ascii="Times New Roman" w:hAnsi="Times New Roman" w:cs="Times New Roman"/>
          <w:sz w:val="24"/>
          <w:szCs w:val="24"/>
        </w:rPr>
        <w:t>s were duplicated eight times</w:t>
      </w:r>
      <w:r w:rsidR="00701D81">
        <w:rPr>
          <w:rFonts w:ascii="Times New Roman" w:hAnsi="Times New Roman" w:cs="Times New Roman"/>
          <w:sz w:val="24"/>
          <w:szCs w:val="24"/>
        </w:rPr>
        <w:t xml:space="preserve"> (i.e. within each region)</w:t>
      </w:r>
      <w:r w:rsidR="00CD0B6A">
        <w:rPr>
          <w:rFonts w:ascii="Times New Roman" w:hAnsi="Times New Roman" w:cs="Times New Roman"/>
          <w:sz w:val="24"/>
          <w:szCs w:val="24"/>
        </w:rPr>
        <w:t xml:space="preserve">, </w:t>
      </w:r>
      <w:r w:rsidR="009B62E8">
        <w:rPr>
          <w:rFonts w:ascii="Times New Roman" w:hAnsi="Times New Roman" w:cs="Times New Roman"/>
          <w:sz w:val="24"/>
          <w:szCs w:val="24"/>
        </w:rPr>
        <w:t>rather than</w:t>
      </w:r>
      <w:r w:rsidR="00CD0B6A">
        <w:rPr>
          <w:rFonts w:ascii="Times New Roman" w:hAnsi="Times New Roman" w:cs="Times New Roman"/>
          <w:sz w:val="24"/>
          <w:szCs w:val="24"/>
        </w:rPr>
        <w:t xml:space="preserve"> </w:t>
      </w:r>
      <w:r w:rsidR="009B62E8">
        <w:rPr>
          <w:rFonts w:ascii="Times New Roman" w:hAnsi="Times New Roman" w:cs="Times New Roman"/>
          <w:sz w:val="24"/>
          <w:szCs w:val="24"/>
        </w:rPr>
        <w:t>being perform</w:t>
      </w:r>
      <w:r w:rsidR="00CD0B6A">
        <w:rPr>
          <w:rFonts w:ascii="Times New Roman" w:hAnsi="Times New Roman" w:cs="Times New Roman"/>
          <w:sz w:val="24"/>
          <w:szCs w:val="24"/>
        </w:rPr>
        <w:t xml:space="preserve">ed centrally.  </w:t>
      </w:r>
      <w:r w:rsidR="00E776E9">
        <w:rPr>
          <w:rFonts w:ascii="Times New Roman" w:hAnsi="Times New Roman" w:cs="Times New Roman"/>
          <w:sz w:val="24"/>
          <w:szCs w:val="24"/>
        </w:rPr>
        <w:t xml:space="preserve">The move to </w:t>
      </w:r>
      <w:r w:rsidR="00C63F90">
        <w:rPr>
          <w:rFonts w:ascii="Times New Roman" w:hAnsi="Times New Roman" w:cs="Times New Roman"/>
          <w:sz w:val="24"/>
          <w:szCs w:val="24"/>
        </w:rPr>
        <w:t xml:space="preserve">centralised delivery in 2010 undoubtedly reduced </w:t>
      </w:r>
      <w:r w:rsidR="001154E2">
        <w:rPr>
          <w:rFonts w:ascii="Times New Roman" w:hAnsi="Times New Roman" w:cs="Times New Roman"/>
          <w:sz w:val="24"/>
          <w:szCs w:val="24"/>
        </w:rPr>
        <w:t>th</w:t>
      </w:r>
      <w:r w:rsidR="007B4ECA">
        <w:rPr>
          <w:rFonts w:ascii="Times New Roman" w:hAnsi="Times New Roman" w:cs="Times New Roman"/>
          <w:sz w:val="24"/>
          <w:szCs w:val="24"/>
        </w:rPr>
        <w:t>is form of</w:t>
      </w:r>
      <w:r w:rsidR="001154E2">
        <w:rPr>
          <w:rFonts w:ascii="Times New Roman" w:hAnsi="Times New Roman" w:cs="Times New Roman"/>
          <w:sz w:val="24"/>
          <w:szCs w:val="24"/>
        </w:rPr>
        <w:t xml:space="preserve"> </w:t>
      </w:r>
      <w:r w:rsidR="00C63F90">
        <w:rPr>
          <w:rFonts w:ascii="Times New Roman" w:hAnsi="Times New Roman" w:cs="Times New Roman"/>
          <w:sz w:val="24"/>
          <w:szCs w:val="24"/>
        </w:rPr>
        <w:t>transactio</w:t>
      </w:r>
      <w:r w:rsidR="00394AEB">
        <w:rPr>
          <w:rFonts w:ascii="Times New Roman" w:hAnsi="Times New Roman" w:cs="Times New Roman"/>
          <w:sz w:val="24"/>
          <w:szCs w:val="24"/>
        </w:rPr>
        <w:t>n cost</w:t>
      </w:r>
      <w:r w:rsidR="00D14772">
        <w:rPr>
          <w:rFonts w:ascii="Times New Roman" w:hAnsi="Times New Roman" w:cs="Times New Roman"/>
          <w:sz w:val="24"/>
          <w:szCs w:val="24"/>
        </w:rPr>
        <w:t>.</w:t>
      </w:r>
      <w:r w:rsidR="0009291A">
        <w:rPr>
          <w:rFonts w:ascii="Times New Roman" w:hAnsi="Times New Roman" w:cs="Times New Roman"/>
          <w:sz w:val="24"/>
          <w:szCs w:val="24"/>
        </w:rPr>
        <w:t xml:space="preserve"> </w:t>
      </w:r>
      <w:r w:rsidR="00D14772">
        <w:rPr>
          <w:rFonts w:ascii="Times New Roman" w:hAnsi="Times New Roman" w:cs="Times New Roman"/>
          <w:sz w:val="24"/>
          <w:szCs w:val="24"/>
        </w:rPr>
        <w:t>However,</w:t>
      </w:r>
      <w:r w:rsidR="0009291A">
        <w:rPr>
          <w:rFonts w:ascii="Times New Roman" w:hAnsi="Times New Roman" w:cs="Times New Roman"/>
          <w:sz w:val="24"/>
          <w:szCs w:val="24"/>
        </w:rPr>
        <w:t xml:space="preserve"> the</w:t>
      </w:r>
      <w:r w:rsidR="00C63F90">
        <w:rPr>
          <w:rFonts w:ascii="Times New Roman" w:hAnsi="Times New Roman" w:cs="Times New Roman"/>
          <w:sz w:val="24"/>
          <w:szCs w:val="24"/>
        </w:rPr>
        <w:t xml:space="preserve"> ‘savings’</w:t>
      </w:r>
      <w:r w:rsidR="0009508A">
        <w:rPr>
          <w:rFonts w:ascii="Times New Roman" w:hAnsi="Times New Roman" w:cs="Times New Roman"/>
          <w:sz w:val="24"/>
          <w:szCs w:val="24"/>
        </w:rPr>
        <w:t xml:space="preserve"> </w:t>
      </w:r>
      <w:r w:rsidR="008477D0">
        <w:rPr>
          <w:rFonts w:ascii="Times New Roman" w:hAnsi="Times New Roman" w:cs="Times New Roman"/>
          <w:sz w:val="24"/>
          <w:szCs w:val="24"/>
        </w:rPr>
        <w:t>mu</w:t>
      </w:r>
      <w:r w:rsidR="00394AEB">
        <w:rPr>
          <w:rFonts w:ascii="Times New Roman" w:hAnsi="Times New Roman" w:cs="Times New Roman"/>
          <w:sz w:val="24"/>
          <w:szCs w:val="24"/>
        </w:rPr>
        <w:t>st be set</w:t>
      </w:r>
      <w:r w:rsidR="00C63F90">
        <w:rPr>
          <w:rFonts w:ascii="Times New Roman" w:hAnsi="Times New Roman" w:cs="Times New Roman"/>
          <w:sz w:val="24"/>
          <w:szCs w:val="24"/>
        </w:rPr>
        <w:t xml:space="preserve"> against negative aspects o</w:t>
      </w:r>
      <w:r w:rsidR="00394AEB">
        <w:rPr>
          <w:rFonts w:ascii="Times New Roman" w:hAnsi="Times New Roman" w:cs="Times New Roman"/>
          <w:sz w:val="24"/>
          <w:szCs w:val="24"/>
        </w:rPr>
        <w:t>f centralization such as reduced</w:t>
      </w:r>
      <w:r w:rsidR="00C63F90">
        <w:rPr>
          <w:rFonts w:ascii="Times New Roman" w:hAnsi="Times New Roman" w:cs="Times New Roman"/>
          <w:sz w:val="24"/>
          <w:szCs w:val="24"/>
        </w:rPr>
        <w:t xml:space="preserve"> </w:t>
      </w:r>
      <w:r w:rsidR="00394AEB">
        <w:rPr>
          <w:rFonts w:ascii="Times New Roman" w:hAnsi="Times New Roman" w:cs="Times New Roman"/>
          <w:sz w:val="24"/>
          <w:szCs w:val="24"/>
        </w:rPr>
        <w:t xml:space="preserve">ability to </w:t>
      </w:r>
      <w:r w:rsidR="009B62E8">
        <w:rPr>
          <w:rFonts w:ascii="Times New Roman" w:hAnsi="Times New Roman" w:cs="Times New Roman"/>
          <w:sz w:val="24"/>
          <w:szCs w:val="24"/>
        </w:rPr>
        <w:t>tailor funds</w:t>
      </w:r>
      <w:r w:rsidR="00394AEB">
        <w:rPr>
          <w:rFonts w:ascii="Times New Roman" w:hAnsi="Times New Roman" w:cs="Times New Roman"/>
          <w:sz w:val="24"/>
          <w:szCs w:val="24"/>
        </w:rPr>
        <w:t xml:space="preserve"> to</w:t>
      </w:r>
      <w:r w:rsidR="0009508A">
        <w:rPr>
          <w:rFonts w:ascii="Times New Roman" w:hAnsi="Times New Roman" w:cs="Times New Roman"/>
          <w:sz w:val="24"/>
          <w:szCs w:val="24"/>
        </w:rPr>
        <w:t xml:space="preserve"> local needs and conditions</w:t>
      </w:r>
      <w:r w:rsidR="00CD0B6A">
        <w:rPr>
          <w:rFonts w:ascii="Times New Roman" w:hAnsi="Times New Roman" w:cs="Times New Roman"/>
          <w:sz w:val="24"/>
          <w:szCs w:val="24"/>
        </w:rPr>
        <w:t>.</w:t>
      </w:r>
      <w:r w:rsidR="0009508A">
        <w:rPr>
          <w:rFonts w:ascii="Times New Roman" w:hAnsi="Times New Roman" w:cs="Times New Roman"/>
          <w:sz w:val="24"/>
          <w:szCs w:val="24"/>
        </w:rPr>
        <w:t xml:space="preserve">  </w:t>
      </w:r>
      <w:r w:rsidR="009B62E8">
        <w:rPr>
          <w:rFonts w:ascii="Times New Roman" w:hAnsi="Times New Roman" w:cs="Times New Roman"/>
          <w:sz w:val="24"/>
          <w:szCs w:val="24"/>
        </w:rPr>
        <w:t>The evaluation found that t</w:t>
      </w:r>
      <w:r w:rsidR="0009508A">
        <w:rPr>
          <w:rFonts w:ascii="Times New Roman" w:hAnsi="Times New Roman" w:cs="Times New Roman"/>
          <w:sz w:val="24"/>
          <w:szCs w:val="24"/>
        </w:rPr>
        <w:t>he local knowledge available in region</w:t>
      </w:r>
      <w:r w:rsidR="00394AEB">
        <w:rPr>
          <w:rFonts w:ascii="Times New Roman" w:hAnsi="Times New Roman" w:cs="Times New Roman"/>
          <w:sz w:val="24"/>
          <w:szCs w:val="24"/>
        </w:rPr>
        <w:t>al delivery</w:t>
      </w:r>
      <w:r w:rsidR="0009508A">
        <w:rPr>
          <w:rFonts w:ascii="Times New Roman" w:hAnsi="Times New Roman" w:cs="Times New Roman"/>
          <w:sz w:val="24"/>
          <w:szCs w:val="24"/>
        </w:rPr>
        <w:t xml:space="preserve"> resulted in selection </w:t>
      </w:r>
      <w:r w:rsidR="009B62E8">
        <w:rPr>
          <w:rFonts w:ascii="Times New Roman" w:hAnsi="Times New Roman" w:cs="Times New Roman"/>
          <w:sz w:val="24"/>
          <w:szCs w:val="24"/>
        </w:rPr>
        <w:t>processes that reduced the risk of</w:t>
      </w:r>
      <w:r w:rsidR="0009508A">
        <w:rPr>
          <w:rFonts w:ascii="Times New Roman" w:hAnsi="Times New Roman" w:cs="Times New Roman"/>
          <w:sz w:val="24"/>
          <w:szCs w:val="24"/>
        </w:rPr>
        <w:t xml:space="preserve"> deadwe</w:t>
      </w:r>
      <w:r w:rsidR="009B62E8">
        <w:rPr>
          <w:rFonts w:ascii="Times New Roman" w:hAnsi="Times New Roman" w:cs="Times New Roman"/>
          <w:sz w:val="24"/>
          <w:szCs w:val="24"/>
        </w:rPr>
        <w:t>ight</w:t>
      </w:r>
      <w:r w:rsidR="00701D81">
        <w:rPr>
          <w:rFonts w:ascii="Times New Roman" w:hAnsi="Times New Roman" w:cs="Times New Roman"/>
          <w:sz w:val="24"/>
          <w:szCs w:val="24"/>
        </w:rPr>
        <w:t>,</w:t>
      </w:r>
      <w:r w:rsidR="009B62E8">
        <w:rPr>
          <w:rFonts w:ascii="Times New Roman" w:hAnsi="Times New Roman" w:cs="Times New Roman"/>
          <w:sz w:val="24"/>
          <w:szCs w:val="24"/>
        </w:rPr>
        <w:t xml:space="preserve"> displacement, and </w:t>
      </w:r>
      <w:r w:rsidR="00701D81">
        <w:rPr>
          <w:rFonts w:ascii="Times New Roman" w:hAnsi="Times New Roman" w:cs="Times New Roman"/>
          <w:sz w:val="24"/>
          <w:szCs w:val="24"/>
        </w:rPr>
        <w:t xml:space="preserve">project </w:t>
      </w:r>
      <w:r w:rsidR="0009508A">
        <w:rPr>
          <w:rFonts w:ascii="Times New Roman" w:hAnsi="Times New Roman" w:cs="Times New Roman"/>
          <w:sz w:val="24"/>
          <w:szCs w:val="24"/>
        </w:rPr>
        <w:t xml:space="preserve">failure, thus </w:t>
      </w:r>
      <w:r w:rsidR="008477D0">
        <w:rPr>
          <w:rFonts w:ascii="Times New Roman" w:hAnsi="Times New Roman" w:cs="Times New Roman"/>
          <w:sz w:val="24"/>
          <w:szCs w:val="24"/>
        </w:rPr>
        <w:t xml:space="preserve">increasing </w:t>
      </w:r>
      <w:r w:rsidR="0009508A">
        <w:rPr>
          <w:rFonts w:ascii="Times New Roman" w:hAnsi="Times New Roman" w:cs="Times New Roman"/>
          <w:sz w:val="24"/>
          <w:szCs w:val="24"/>
        </w:rPr>
        <w:t>cost-effective</w:t>
      </w:r>
      <w:r w:rsidR="009B62E8">
        <w:rPr>
          <w:rFonts w:ascii="Times New Roman" w:hAnsi="Times New Roman" w:cs="Times New Roman"/>
          <w:sz w:val="24"/>
          <w:szCs w:val="24"/>
        </w:rPr>
        <w:t>ness</w:t>
      </w:r>
      <w:r w:rsidR="0009508A">
        <w:rPr>
          <w:rFonts w:ascii="Times New Roman" w:hAnsi="Times New Roman" w:cs="Times New Roman"/>
          <w:sz w:val="24"/>
          <w:szCs w:val="24"/>
        </w:rPr>
        <w:t xml:space="preserve">.  Regional delivery also </w:t>
      </w:r>
      <w:r w:rsidR="009B62E8">
        <w:rPr>
          <w:rFonts w:ascii="Times New Roman" w:hAnsi="Times New Roman" w:cs="Times New Roman"/>
          <w:sz w:val="24"/>
          <w:szCs w:val="24"/>
        </w:rPr>
        <w:t>enabled</w:t>
      </w:r>
      <w:r w:rsidR="0009508A">
        <w:rPr>
          <w:rFonts w:ascii="Times New Roman" w:hAnsi="Times New Roman" w:cs="Times New Roman"/>
          <w:sz w:val="24"/>
          <w:szCs w:val="24"/>
        </w:rPr>
        <w:t xml:space="preserve"> support</w:t>
      </w:r>
      <w:r w:rsidR="009B62E8">
        <w:rPr>
          <w:rFonts w:ascii="Times New Roman" w:hAnsi="Times New Roman" w:cs="Times New Roman"/>
          <w:sz w:val="24"/>
          <w:szCs w:val="24"/>
        </w:rPr>
        <w:t xml:space="preserve"> and encouragement for</w:t>
      </w:r>
      <w:r w:rsidR="0009508A">
        <w:rPr>
          <w:rFonts w:ascii="Times New Roman" w:hAnsi="Times New Roman" w:cs="Times New Roman"/>
          <w:sz w:val="24"/>
          <w:szCs w:val="24"/>
        </w:rPr>
        <w:t xml:space="preserve"> integrated projects</w:t>
      </w:r>
      <w:r w:rsidR="00701D81">
        <w:rPr>
          <w:rFonts w:ascii="Times New Roman" w:hAnsi="Times New Roman" w:cs="Times New Roman"/>
          <w:sz w:val="24"/>
          <w:szCs w:val="24"/>
        </w:rPr>
        <w:t>,</w:t>
      </w:r>
      <w:r w:rsidR="0009508A">
        <w:rPr>
          <w:rFonts w:ascii="Times New Roman" w:hAnsi="Times New Roman" w:cs="Times New Roman"/>
          <w:sz w:val="24"/>
          <w:szCs w:val="24"/>
        </w:rPr>
        <w:t xml:space="preserve"> such as those focused on improving specific supply chains (e.g. wood fuel)</w:t>
      </w:r>
      <w:r w:rsidR="00EA098E">
        <w:rPr>
          <w:rFonts w:ascii="Times New Roman" w:hAnsi="Times New Roman" w:cs="Times New Roman"/>
          <w:sz w:val="24"/>
          <w:szCs w:val="24"/>
        </w:rPr>
        <w:t xml:space="preserve">, </w:t>
      </w:r>
      <w:r w:rsidR="00701D81">
        <w:rPr>
          <w:rFonts w:ascii="Times New Roman" w:hAnsi="Times New Roman" w:cs="Times New Roman"/>
          <w:sz w:val="24"/>
          <w:szCs w:val="24"/>
        </w:rPr>
        <w:t xml:space="preserve">which </w:t>
      </w:r>
      <w:r w:rsidR="00EA098E">
        <w:rPr>
          <w:rFonts w:ascii="Times New Roman" w:hAnsi="Times New Roman" w:cs="Times New Roman"/>
          <w:sz w:val="24"/>
          <w:szCs w:val="24"/>
        </w:rPr>
        <w:t>requir</w:t>
      </w:r>
      <w:r w:rsidR="00701D81">
        <w:rPr>
          <w:rFonts w:ascii="Times New Roman" w:hAnsi="Times New Roman" w:cs="Times New Roman"/>
          <w:sz w:val="24"/>
          <w:szCs w:val="24"/>
        </w:rPr>
        <w:t>e</w:t>
      </w:r>
      <w:r w:rsidR="00EA098E">
        <w:rPr>
          <w:rFonts w:ascii="Times New Roman" w:hAnsi="Times New Roman" w:cs="Times New Roman"/>
          <w:sz w:val="24"/>
          <w:szCs w:val="24"/>
        </w:rPr>
        <w:t xml:space="preserve"> good</w:t>
      </w:r>
      <w:r w:rsidR="0009508A">
        <w:rPr>
          <w:rFonts w:ascii="Times New Roman" w:hAnsi="Times New Roman" w:cs="Times New Roman"/>
          <w:sz w:val="24"/>
          <w:szCs w:val="24"/>
        </w:rPr>
        <w:t xml:space="preserve"> understanding </w:t>
      </w:r>
      <w:r w:rsidR="002E07B1">
        <w:rPr>
          <w:rFonts w:ascii="Times New Roman" w:hAnsi="Times New Roman" w:cs="Times New Roman"/>
          <w:sz w:val="24"/>
          <w:szCs w:val="24"/>
        </w:rPr>
        <w:t>of local bus</w:t>
      </w:r>
      <w:r w:rsidR="009B62E8">
        <w:rPr>
          <w:rFonts w:ascii="Times New Roman" w:hAnsi="Times New Roman" w:cs="Times New Roman"/>
          <w:sz w:val="24"/>
          <w:szCs w:val="24"/>
        </w:rPr>
        <w:t xml:space="preserve">iness operations and </w:t>
      </w:r>
      <w:r w:rsidR="00EA098E">
        <w:rPr>
          <w:rFonts w:ascii="Times New Roman" w:hAnsi="Times New Roman" w:cs="Times New Roman"/>
          <w:sz w:val="24"/>
          <w:szCs w:val="24"/>
        </w:rPr>
        <w:t>the ability</w:t>
      </w:r>
      <w:r w:rsidR="008477D0">
        <w:rPr>
          <w:rFonts w:ascii="Times New Roman" w:hAnsi="Times New Roman" w:cs="Times New Roman"/>
          <w:sz w:val="24"/>
          <w:szCs w:val="24"/>
        </w:rPr>
        <w:t xml:space="preserve"> to </w:t>
      </w:r>
      <w:r w:rsidR="00EA098E">
        <w:rPr>
          <w:rFonts w:ascii="Times New Roman" w:hAnsi="Times New Roman" w:cs="Times New Roman"/>
          <w:sz w:val="24"/>
          <w:szCs w:val="24"/>
        </w:rPr>
        <w:t>bring people together</w:t>
      </w:r>
      <w:r w:rsidR="002E07B1">
        <w:rPr>
          <w:rFonts w:ascii="Times New Roman" w:hAnsi="Times New Roman" w:cs="Times New Roman"/>
          <w:sz w:val="24"/>
          <w:szCs w:val="24"/>
        </w:rPr>
        <w:t xml:space="preserve">. Integrated programmes of delivery </w:t>
      </w:r>
      <w:r w:rsidR="001154E2">
        <w:rPr>
          <w:rFonts w:ascii="Times New Roman" w:hAnsi="Times New Roman" w:cs="Times New Roman"/>
          <w:sz w:val="24"/>
          <w:szCs w:val="24"/>
        </w:rPr>
        <w:t xml:space="preserve">also </w:t>
      </w:r>
      <w:r w:rsidR="002E07B1">
        <w:rPr>
          <w:rFonts w:ascii="Times New Roman" w:hAnsi="Times New Roman" w:cs="Times New Roman"/>
          <w:sz w:val="24"/>
          <w:szCs w:val="24"/>
        </w:rPr>
        <w:t xml:space="preserve">reduced management costs in some cases </w:t>
      </w:r>
      <w:r w:rsidR="00EA098E">
        <w:rPr>
          <w:rFonts w:ascii="Times New Roman" w:hAnsi="Times New Roman" w:cs="Times New Roman"/>
          <w:sz w:val="24"/>
          <w:szCs w:val="24"/>
        </w:rPr>
        <w:t>by</w:t>
      </w:r>
      <w:r w:rsidR="002E07B1">
        <w:rPr>
          <w:rFonts w:ascii="Times New Roman" w:hAnsi="Times New Roman" w:cs="Times New Roman"/>
          <w:sz w:val="24"/>
          <w:szCs w:val="24"/>
        </w:rPr>
        <w:t xml:space="preserve"> combining several activities (e.g. training, advice and grant support)</w:t>
      </w:r>
      <w:r w:rsidR="00CC1BBD">
        <w:rPr>
          <w:rFonts w:ascii="Times New Roman" w:hAnsi="Times New Roman" w:cs="Times New Roman"/>
          <w:sz w:val="24"/>
          <w:szCs w:val="24"/>
        </w:rPr>
        <w:t xml:space="preserve"> into a si</w:t>
      </w:r>
      <w:r w:rsidR="009B62E8">
        <w:rPr>
          <w:rFonts w:ascii="Times New Roman" w:hAnsi="Times New Roman" w:cs="Times New Roman"/>
          <w:sz w:val="24"/>
          <w:szCs w:val="24"/>
        </w:rPr>
        <w:t>ngle</w:t>
      </w:r>
      <w:r w:rsidR="00CC1BBD">
        <w:rPr>
          <w:rFonts w:ascii="Times New Roman" w:hAnsi="Times New Roman" w:cs="Times New Roman"/>
          <w:sz w:val="24"/>
          <w:szCs w:val="24"/>
        </w:rPr>
        <w:t xml:space="preserve"> application process</w:t>
      </w:r>
      <w:r w:rsidR="002E07B1">
        <w:rPr>
          <w:rFonts w:ascii="Times New Roman" w:hAnsi="Times New Roman" w:cs="Times New Roman"/>
          <w:sz w:val="24"/>
          <w:szCs w:val="24"/>
        </w:rPr>
        <w:t xml:space="preserve">.  </w:t>
      </w:r>
    </w:p>
    <w:p w:rsidR="00BC4F5B" w:rsidRDefault="00232121" w:rsidP="00D12BCA">
      <w:pPr>
        <w:spacing w:line="360" w:lineRule="auto"/>
        <w:jc w:val="both"/>
        <w:rPr>
          <w:rFonts w:ascii="Times New Roman" w:hAnsi="Times New Roman" w:cs="Times New Roman"/>
          <w:sz w:val="24"/>
          <w:szCs w:val="24"/>
        </w:rPr>
        <w:sectPr w:rsidR="00BC4F5B" w:rsidSect="00254B8E">
          <w:footerReference w:type="default" r:id="rId11"/>
          <w:pgSz w:w="12240" w:h="15840"/>
          <w:pgMar w:top="1440" w:right="1440" w:bottom="1440" w:left="1440" w:header="708" w:footer="708" w:gutter="0"/>
          <w:cols w:space="708"/>
          <w:docGrid w:linePitch="360"/>
        </w:sectPr>
      </w:pPr>
      <w:r>
        <w:rPr>
          <w:rFonts w:ascii="Times New Roman" w:hAnsi="Times New Roman" w:cs="Times New Roman"/>
          <w:sz w:val="24"/>
          <w:szCs w:val="24"/>
        </w:rPr>
        <w:t>Powell and Courtney</w:t>
      </w:r>
      <w:r w:rsidR="00D5432E">
        <w:rPr>
          <w:rFonts w:ascii="Times New Roman" w:hAnsi="Times New Roman" w:cs="Times New Roman"/>
          <w:sz w:val="24"/>
          <w:szCs w:val="24"/>
        </w:rPr>
        <w:t>’s analysis</w:t>
      </w:r>
      <w:r>
        <w:rPr>
          <w:rFonts w:ascii="Times New Roman" w:hAnsi="Times New Roman" w:cs="Times New Roman"/>
          <w:sz w:val="24"/>
          <w:szCs w:val="24"/>
        </w:rPr>
        <w:t xml:space="preserve"> (2013) </w:t>
      </w:r>
      <w:r w:rsidR="00D5432E">
        <w:rPr>
          <w:rFonts w:ascii="Times New Roman" w:hAnsi="Times New Roman" w:cs="Times New Roman"/>
          <w:sz w:val="24"/>
          <w:szCs w:val="24"/>
        </w:rPr>
        <w:t>suggest</w:t>
      </w:r>
      <w:r w:rsidR="007F3CAF">
        <w:rPr>
          <w:rFonts w:ascii="Times New Roman" w:hAnsi="Times New Roman" w:cs="Times New Roman"/>
          <w:sz w:val="24"/>
          <w:szCs w:val="24"/>
        </w:rPr>
        <w:t xml:space="preserve">ed that </w:t>
      </w:r>
      <w:r w:rsidR="00EA098E">
        <w:rPr>
          <w:rFonts w:ascii="Times New Roman" w:hAnsi="Times New Roman" w:cs="Times New Roman"/>
          <w:sz w:val="24"/>
          <w:szCs w:val="24"/>
        </w:rPr>
        <w:t xml:space="preserve">overall, </w:t>
      </w:r>
      <w:r w:rsidR="002E07B1">
        <w:rPr>
          <w:rFonts w:ascii="Times New Roman" w:hAnsi="Times New Roman" w:cs="Times New Roman"/>
          <w:sz w:val="24"/>
          <w:szCs w:val="24"/>
        </w:rPr>
        <w:t xml:space="preserve">regional delivery </w:t>
      </w:r>
      <w:r w:rsidR="00EA098E">
        <w:rPr>
          <w:rFonts w:ascii="Times New Roman" w:hAnsi="Times New Roman" w:cs="Times New Roman"/>
          <w:sz w:val="24"/>
          <w:szCs w:val="24"/>
        </w:rPr>
        <w:t xml:space="preserve">via the RDAs </w:t>
      </w:r>
      <w:r w:rsidR="002E07B1">
        <w:rPr>
          <w:rFonts w:ascii="Times New Roman" w:hAnsi="Times New Roman" w:cs="Times New Roman"/>
          <w:sz w:val="24"/>
          <w:szCs w:val="24"/>
        </w:rPr>
        <w:t xml:space="preserve">provided </w:t>
      </w:r>
      <w:r w:rsidR="00D5432E">
        <w:rPr>
          <w:rFonts w:ascii="Times New Roman" w:hAnsi="Times New Roman" w:cs="Times New Roman"/>
          <w:sz w:val="24"/>
          <w:szCs w:val="24"/>
        </w:rPr>
        <w:t>great</w:t>
      </w:r>
      <w:r w:rsidR="0001745D">
        <w:rPr>
          <w:rFonts w:ascii="Times New Roman" w:hAnsi="Times New Roman" w:cs="Times New Roman"/>
          <w:sz w:val="24"/>
          <w:szCs w:val="24"/>
        </w:rPr>
        <w:t>er benefits</w:t>
      </w:r>
      <w:r w:rsidR="00EA098E">
        <w:rPr>
          <w:rFonts w:ascii="Times New Roman" w:hAnsi="Times New Roman" w:cs="Times New Roman"/>
          <w:sz w:val="24"/>
          <w:szCs w:val="24"/>
        </w:rPr>
        <w:t xml:space="preserve"> than a centralized approach</w:t>
      </w:r>
      <w:r w:rsidR="0001745D">
        <w:rPr>
          <w:rFonts w:ascii="Times New Roman" w:hAnsi="Times New Roman" w:cs="Times New Roman"/>
          <w:sz w:val="24"/>
          <w:szCs w:val="24"/>
        </w:rPr>
        <w:t xml:space="preserve"> in terms of </w:t>
      </w:r>
      <w:r w:rsidR="002E07B1">
        <w:rPr>
          <w:rFonts w:ascii="Times New Roman" w:hAnsi="Times New Roman" w:cs="Times New Roman"/>
          <w:sz w:val="24"/>
          <w:szCs w:val="24"/>
        </w:rPr>
        <w:t xml:space="preserve">trust, </w:t>
      </w:r>
      <w:r w:rsidR="0001745D">
        <w:rPr>
          <w:rFonts w:ascii="Times New Roman" w:hAnsi="Times New Roman" w:cs="Times New Roman"/>
          <w:sz w:val="24"/>
          <w:szCs w:val="24"/>
        </w:rPr>
        <w:t xml:space="preserve">engagement and </w:t>
      </w:r>
      <w:r w:rsidR="00E776E9">
        <w:rPr>
          <w:rFonts w:ascii="Times New Roman" w:hAnsi="Times New Roman" w:cs="Times New Roman"/>
          <w:sz w:val="24"/>
          <w:szCs w:val="24"/>
        </w:rPr>
        <w:t>meeting</w:t>
      </w:r>
      <w:r w:rsidR="0001745D">
        <w:rPr>
          <w:rFonts w:ascii="Times New Roman" w:hAnsi="Times New Roman" w:cs="Times New Roman"/>
          <w:sz w:val="24"/>
          <w:szCs w:val="24"/>
        </w:rPr>
        <w:t xml:space="preserve"> local needs</w:t>
      </w:r>
      <w:r w:rsidR="00E776E9">
        <w:rPr>
          <w:rFonts w:ascii="Times New Roman" w:hAnsi="Times New Roman" w:cs="Times New Roman"/>
          <w:sz w:val="24"/>
          <w:szCs w:val="24"/>
        </w:rPr>
        <w:t>,</w:t>
      </w:r>
      <w:r w:rsidR="002E07B1">
        <w:rPr>
          <w:rFonts w:ascii="Times New Roman" w:hAnsi="Times New Roman" w:cs="Times New Roman"/>
          <w:sz w:val="24"/>
          <w:szCs w:val="24"/>
        </w:rPr>
        <w:t xml:space="preserve"> making the achievement of policy </w:t>
      </w:r>
      <w:r w:rsidR="00C35298">
        <w:rPr>
          <w:rFonts w:ascii="Times New Roman" w:hAnsi="Times New Roman" w:cs="Times New Roman"/>
          <w:sz w:val="24"/>
          <w:szCs w:val="24"/>
        </w:rPr>
        <w:t>outcomes</w:t>
      </w:r>
      <w:r w:rsidR="002E07B1">
        <w:rPr>
          <w:rFonts w:ascii="Times New Roman" w:hAnsi="Times New Roman" w:cs="Times New Roman"/>
          <w:sz w:val="24"/>
          <w:szCs w:val="24"/>
        </w:rPr>
        <w:t xml:space="preserve"> more likely</w:t>
      </w:r>
      <w:r w:rsidR="00D5432E">
        <w:rPr>
          <w:rFonts w:ascii="Times New Roman" w:hAnsi="Times New Roman" w:cs="Times New Roman"/>
          <w:sz w:val="24"/>
          <w:szCs w:val="24"/>
        </w:rPr>
        <w:t xml:space="preserve"> (reduced risk)</w:t>
      </w:r>
      <w:r w:rsidR="007F3CAF">
        <w:rPr>
          <w:rFonts w:ascii="Times New Roman" w:hAnsi="Times New Roman" w:cs="Times New Roman"/>
          <w:sz w:val="24"/>
          <w:szCs w:val="24"/>
        </w:rPr>
        <w:t>, while c</w:t>
      </w:r>
      <w:r w:rsidR="002E07B1">
        <w:rPr>
          <w:rFonts w:ascii="Times New Roman" w:hAnsi="Times New Roman" w:cs="Times New Roman"/>
          <w:sz w:val="24"/>
          <w:szCs w:val="24"/>
        </w:rPr>
        <w:t>entrali</w:t>
      </w:r>
      <w:r w:rsidR="00EA098E">
        <w:rPr>
          <w:rFonts w:ascii="Times New Roman" w:hAnsi="Times New Roman" w:cs="Times New Roman"/>
          <w:sz w:val="24"/>
          <w:szCs w:val="24"/>
        </w:rPr>
        <w:t>z</w:t>
      </w:r>
      <w:r w:rsidR="002E07B1">
        <w:rPr>
          <w:rFonts w:ascii="Times New Roman" w:hAnsi="Times New Roman" w:cs="Times New Roman"/>
          <w:sz w:val="24"/>
          <w:szCs w:val="24"/>
        </w:rPr>
        <w:t xml:space="preserve">ed </w:t>
      </w:r>
      <w:r w:rsidR="009C3DA0">
        <w:rPr>
          <w:rFonts w:ascii="Times New Roman" w:hAnsi="Times New Roman" w:cs="Times New Roman"/>
          <w:sz w:val="24"/>
          <w:szCs w:val="24"/>
        </w:rPr>
        <w:t>delivery provided</w:t>
      </w:r>
      <w:r w:rsidR="0001745D">
        <w:rPr>
          <w:rFonts w:ascii="Times New Roman" w:hAnsi="Times New Roman" w:cs="Times New Roman"/>
          <w:sz w:val="24"/>
          <w:szCs w:val="24"/>
        </w:rPr>
        <w:t xml:space="preserve"> </w:t>
      </w:r>
      <w:r w:rsidR="00E776E9">
        <w:rPr>
          <w:rFonts w:ascii="Times New Roman" w:hAnsi="Times New Roman" w:cs="Times New Roman"/>
          <w:sz w:val="24"/>
          <w:szCs w:val="24"/>
        </w:rPr>
        <w:t>uniform</w:t>
      </w:r>
      <w:r w:rsidR="0001745D">
        <w:rPr>
          <w:rFonts w:ascii="Times New Roman" w:hAnsi="Times New Roman" w:cs="Times New Roman"/>
          <w:sz w:val="24"/>
          <w:szCs w:val="24"/>
        </w:rPr>
        <w:t xml:space="preserve"> </w:t>
      </w:r>
      <w:r w:rsidR="009C3DA0">
        <w:rPr>
          <w:rFonts w:ascii="Times New Roman" w:hAnsi="Times New Roman" w:cs="Times New Roman"/>
          <w:sz w:val="24"/>
          <w:szCs w:val="24"/>
        </w:rPr>
        <w:t xml:space="preserve">access and </w:t>
      </w:r>
      <w:r w:rsidR="0001745D">
        <w:rPr>
          <w:rFonts w:ascii="Times New Roman" w:hAnsi="Times New Roman" w:cs="Times New Roman"/>
          <w:sz w:val="24"/>
          <w:szCs w:val="24"/>
        </w:rPr>
        <w:t xml:space="preserve">lower </w:t>
      </w:r>
      <w:r w:rsidR="00D5432E">
        <w:rPr>
          <w:rFonts w:ascii="Times New Roman" w:hAnsi="Times New Roman" w:cs="Times New Roman"/>
          <w:sz w:val="24"/>
          <w:szCs w:val="24"/>
        </w:rPr>
        <w:t xml:space="preserve">immediate </w:t>
      </w:r>
      <w:r w:rsidR="0001745D">
        <w:rPr>
          <w:rFonts w:ascii="Times New Roman" w:hAnsi="Times New Roman" w:cs="Times New Roman"/>
          <w:sz w:val="24"/>
          <w:szCs w:val="24"/>
        </w:rPr>
        <w:t>delivery costs</w:t>
      </w:r>
      <w:r w:rsidR="00D5432E">
        <w:rPr>
          <w:rFonts w:ascii="Times New Roman" w:hAnsi="Times New Roman" w:cs="Times New Roman"/>
          <w:sz w:val="24"/>
          <w:szCs w:val="24"/>
        </w:rPr>
        <w:t xml:space="preserve"> (as a result of standardized processes),</w:t>
      </w:r>
      <w:r w:rsidR="0001745D">
        <w:rPr>
          <w:rFonts w:ascii="Times New Roman" w:hAnsi="Times New Roman" w:cs="Times New Roman"/>
          <w:sz w:val="24"/>
          <w:szCs w:val="24"/>
        </w:rPr>
        <w:t xml:space="preserve"> but </w:t>
      </w:r>
      <w:r w:rsidR="00D14772">
        <w:rPr>
          <w:rFonts w:ascii="Times New Roman" w:hAnsi="Times New Roman" w:cs="Times New Roman"/>
          <w:sz w:val="24"/>
          <w:szCs w:val="24"/>
        </w:rPr>
        <w:t>at the cost of longer decision-</w:t>
      </w:r>
      <w:r w:rsidR="009C3DA0">
        <w:rPr>
          <w:rFonts w:ascii="Times New Roman" w:hAnsi="Times New Roman" w:cs="Times New Roman"/>
          <w:sz w:val="24"/>
          <w:szCs w:val="24"/>
        </w:rPr>
        <w:t>making</w:t>
      </w:r>
      <w:r w:rsidR="00D5432E">
        <w:rPr>
          <w:rFonts w:ascii="Times New Roman" w:hAnsi="Times New Roman" w:cs="Times New Roman"/>
          <w:sz w:val="24"/>
          <w:szCs w:val="24"/>
        </w:rPr>
        <w:t xml:space="preserve"> processes</w:t>
      </w:r>
      <w:r w:rsidR="009C3DA0">
        <w:rPr>
          <w:rFonts w:ascii="Times New Roman" w:hAnsi="Times New Roman" w:cs="Times New Roman"/>
          <w:sz w:val="24"/>
          <w:szCs w:val="24"/>
        </w:rPr>
        <w:t xml:space="preserve">, lower levels of </w:t>
      </w:r>
      <w:r w:rsidR="00D5432E">
        <w:rPr>
          <w:rFonts w:ascii="Times New Roman" w:hAnsi="Times New Roman" w:cs="Times New Roman"/>
          <w:sz w:val="24"/>
          <w:szCs w:val="24"/>
        </w:rPr>
        <w:t xml:space="preserve">beneficiary </w:t>
      </w:r>
      <w:r w:rsidR="009C3DA0">
        <w:rPr>
          <w:rFonts w:ascii="Times New Roman" w:hAnsi="Times New Roman" w:cs="Times New Roman"/>
          <w:sz w:val="24"/>
          <w:szCs w:val="24"/>
        </w:rPr>
        <w:t xml:space="preserve">engagement, </w:t>
      </w:r>
      <w:r w:rsidR="00E776E9">
        <w:rPr>
          <w:rFonts w:ascii="Times New Roman" w:hAnsi="Times New Roman" w:cs="Times New Roman"/>
          <w:sz w:val="24"/>
          <w:szCs w:val="24"/>
        </w:rPr>
        <w:t>a reduction in</w:t>
      </w:r>
      <w:r w:rsidR="009C3DA0">
        <w:rPr>
          <w:rFonts w:ascii="Times New Roman" w:hAnsi="Times New Roman" w:cs="Times New Roman"/>
          <w:sz w:val="24"/>
          <w:szCs w:val="24"/>
        </w:rPr>
        <w:t xml:space="preserve"> </w:t>
      </w:r>
      <w:r w:rsidR="00D5432E">
        <w:rPr>
          <w:rFonts w:ascii="Times New Roman" w:hAnsi="Times New Roman" w:cs="Times New Roman"/>
          <w:sz w:val="24"/>
          <w:szCs w:val="24"/>
        </w:rPr>
        <w:t xml:space="preserve">more complex </w:t>
      </w:r>
      <w:r w:rsidR="009C3DA0">
        <w:rPr>
          <w:rFonts w:ascii="Times New Roman" w:hAnsi="Times New Roman" w:cs="Times New Roman"/>
          <w:sz w:val="24"/>
          <w:szCs w:val="24"/>
        </w:rPr>
        <w:t>collaborative projects</w:t>
      </w:r>
      <w:r w:rsidR="00D5432E">
        <w:rPr>
          <w:rFonts w:ascii="Times New Roman" w:hAnsi="Times New Roman" w:cs="Times New Roman"/>
          <w:sz w:val="24"/>
          <w:szCs w:val="24"/>
        </w:rPr>
        <w:t xml:space="preserve"> with greater </w:t>
      </w:r>
      <w:r w:rsidR="007B4ECA">
        <w:rPr>
          <w:rFonts w:ascii="Times New Roman" w:hAnsi="Times New Roman" w:cs="Times New Roman"/>
          <w:sz w:val="24"/>
          <w:szCs w:val="24"/>
        </w:rPr>
        <w:t xml:space="preserve">impact </w:t>
      </w:r>
      <w:r w:rsidR="00D5432E">
        <w:rPr>
          <w:rFonts w:ascii="Times New Roman" w:hAnsi="Times New Roman" w:cs="Times New Roman"/>
          <w:sz w:val="24"/>
          <w:szCs w:val="24"/>
        </w:rPr>
        <w:t>potential</w:t>
      </w:r>
      <w:r w:rsidR="009C3DA0">
        <w:rPr>
          <w:rFonts w:ascii="Times New Roman" w:hAnsi="Times New Roman" w:cs="Times New Roman"/>
          <w:sz w:val="24"/>
          <w:szCs w:val="24"/>
        </w:rPr>
        <w:t xml:space="preserve">, </w:t>
      </w:r>
      <w:r w:rsidR="00E776E9">
        <w:rPr>
          <w:rFonts w:ascii="Times New Roman" w:hAnsi="Times New Roman" w:cs="Times New Roman"/>
          <w:sz w:val="24"/>
          <w:szCs w:val="24"/>
        </w:rPr>
        <w:t xml:space="preserve">and a </w:t>
      </w:r>
      <w:r w:rsidR="0001745D">
        <w:rPr>
          <w:rFonts w:ascii="Times New Roman" w:hAnsi="Times New Roman" w:cs="Times New Roman"/>
          <w:sz w:val="24"/>
          <w:szCs w:val="24"/>
        </w:rPr>
        <w:t xml:space="preserve">loss of </w:t>
      </w:r>
      <w:r w:rsidR="00E776E9">
        <w:rPr>
          <w:rFonts w:ascii="Times New Roman" w:hAnsi="Times New Roman" w:cs="Times New Roman"/>
          <w:sz w:val="24"/>
          <w:szCs w:val="24"/>
        </w:rPr>
        <w:t xml:space="preserve">local stakeholder </w:t>
      </w:r>
      <w:r w:rsidR="0001745D">
        <w:rPr>
          <w:rFonts w:ascii="Times New Roman" w:hAnsi="Times New Roman" w:cs="Times New Roman"/>
          <w:sz w:val="24"/>
          <w:szCs w:val="24"/>
        </w:rPr>
        <w:t>accountability</w:t>
      </w:r>
      <w:r w:rsidR="00D14772">
        <w:rPr>
          <w:rFonts w:ascii="Times New Roman" w:hAnsi="Times New Roman" w:cs="Times New Roman"/>
          <w:sz w:val="24"/>
          <w:szCs w:val="24"/>
        </w:rPr>
        <w:t xml:space="preserve">. </w:t>
      </w:r>
      <w:r w:rsidR="00D5432E">
        <w:rPr>
          <w:rFonts w:ascii="Times New Roman" w:hAnsi="Times New Roman" w:cs="Times New Roman"/>
          <w:sz w:val="24"/>
          <w:szCs w:val="24"/>
        </w:rPr>
        <w:t>T</w:t>
      </w:r>
      <w:r w:rsidR="00A2280A">
        <w:rPr>
          <w:rFonts w:ascii="Times New Roman" w:hAnsi="Times New Roman" w:cs="Times New Roman"/>
          <w:sz w:val="24"/>
          <w:szCs w:val="24"/>
        </w:rPr>
        <w:t xml:space="preserve">he regional approach to delivery and in </w:t>
      </w:r>
    </w:p>
    <w:p w:rsidR="00295600" w:rsidRPr="002A3A7C" w:rsidRDefault="000A6793" w:rsidP="00FB60F1">
      <w:pPr>
        <w:spacing w:after="0" w:line="240" w:lineRule="auto"/>
        <w:jc w:val="both"/>
        <w:rPr>
          <w:rFonts w:ascii="Times New Roman" w:hAnsi="Times New Roman" w:cs="Times New Roman"/>
          <w:b/>
          <w:sz w:val="24"/>
          <w:szCs w:val="24"/>
        </w:rPr>
      </w:pPr>
      <w:r w:rsidRPr="002A3A7C">
        <w:rPr>
          <w:rFonts w:ascii="Times New Roman" w:hAnsi="Times New Roman" w:cs="Times New Roman"/>
          <w:b/>
          <w:sz w:val="24"/>
          <w:szCs w:val="24"/>
        </w:rPr>
        <w:lastRenderedPageBreak/>
        <w:t xml:space="preserve">Table </w:t>
      </w:r>
      <w:r w:rsidR="00BF457B">
        <w:rPr>
          <w:rFonts w:ascii="Times New Roman" w:hAnsi="Times New Roman" w:cs="Times New Roman"/>
          <w:b/>
          <w:sz w:val="24"/>
          <w:szCs w:val="24"/>
        </w:rPr>
        <w:t>3</w:t>
      </w:r>
      <w:r w:rsidRPr="002A3A7C">
        <w:rPr>
          <w:rFonts w:ascii="Times New Roman" w:hAnsi="Times New Roman" w:cs="Times New Roman"/>
          <w:b/>
          <w:sz w:val="24"/>
          <w:szCs w:val="24"/>
        </w:rPr>
        <w:t>. Transaction effects</w:t>
      </w:r>
      <w:r w:rsidR="00254B8E" w:rsidRPr="002A3A7C">
        <w:rPr>
          <w:rFonts w:ascii="Times New Roman" w:hAnsi="Times New Roman" w:cs="Times New Roman"/>
          <w:b/>
          <w:sz w:val="24"/>
          <w:szCs w:val="24"/>
        </w:rPr>
        <w:t xml:space="preserve"> </w:t>
      </w:r>
      <w:r w:rsidRPr="002A3A7C">
        <w:rPr>
          <w:rFonts w:ascii="Times New Roman" w:hAnsi="Times New Roman" w:cs="Times New Roman"/>
          <w:b/>
          <w:sz w:val="24"/>
          <w:szCs w:val="24"/>
        </w:rPr>
        <w:t>in</w:t>
      </w:r>
      <w:r w:rsidR="00254B8E" w:rsidRPr="002A3A7C">
        <w:rPr>
          <w:rFonts w:ascii="Times New Roman" w:hAnsi="Times New Roman" w:cs="Times New Roman"/>
          <w:b/>
          <w:sz w:val="24"/>
          <w:szCs w:val="24"/>
        </w:rPr>
        <w:t xml:space="preserve"> the delivery of the Rural Development Programme for England 2007-13</w:t>
      </w:r>
      <w:r w:rsidR="00295600" w:rsidRPr="002A3A7C">
        <w:rPr>
          <w:rFonts w:ascii="Times New Roman" w:hAnsi="Times New Roman" w:cs="Times New Roman"/>
          <w:b/>
          <w:sz w:val="24"/>
          <w:szCs w:val="24"/>
        </w:rPr>
        <w:t xml:space="preserve"> </w:t>
      </w:r>
      <w:r w:rsidR="00232121" w:rsidRPr="00232121">
        <w:rPr>
          <w:rFonts w:ascii="Times New Roman" w:hAnsi="Times New Roman" w:cs="Times New Roman"/>
          <w:sz w:val="20"/>
          <w:szCs w:val="20"/>
        </w:rPr>
        <w:t>(source: authors’ own)</w:t>
      </w:r>
      <w:r w:rsidR="00295600" w:rsidRPr="002A3A7C">
        <w:rPr>
          <w:rFonts w:ascii="Times New Roman" w:hAnsi="Times New Roman" w:cs="Times New Roman"/>
          <w:b/>
          <w:sz w:val="24"/>
          <w:szCs w:val="24"/>
        </w:rPr>
        <w:t xml:space="preserve"> </w:t>
      </w:r>
    </w:p>
    <w:p w:rsidR="00254B8E" w:rsidRPr="002A3A7C" w:rsidRDefault="00295600" w:rsidP="003C7BA3">
      <w:pPr>
        <w:spacing w:after="0" w:line="240" w:lineRule="auto"/>
        <w:jc w:val="both"/>
        <w:rPr>
          <w:rFonts w:ascii="Times New Roman" w:hAnsi="Times New Roman" w:cs="Times New Roman"/>
          <w:sz w:val="20"/>
          <w:szCs w:val="20"/>
        </w:rPr>
      </w:pPr>
      <w:r w:rsidRPr="002A3A7C">
        <w:rPr>
          <w:rFonts w:ascii="Times New Roman" w:hAnsi="Times New Roman" w:cs="Times New Roman"/>
          <w:sz w:val="20"/>
          <w:szCs w:val="20"/>
        </w:rPr>
        <w:t xml:space="preserve">(Note: </w:t>
      </w:r>
      <w:r w:rsidR="009317A4">
        <w:rPr>
          <w:rFonts w:ascii="Times New Roman" w:hAnsi="Times New Roman" w:cs="Times New Roman"/>
          <w:sz w:val="20"/>
          <w:szCs w:val="20"/>
        </w:rPr>
        <w:t xml:space="preserve"> </w:t>
      </w:r>
      <w:r w:rsidRPr="002A3A7C">
        <w:rPr>
          <w:rFonts w:ascii="Times New Roman" w:hAnsi="Times New Roman" w:cs="Times New Roman"/>
          <w:b/>
          <w:sz w:val="20"/>
          <w:szCs w:val="20"/>
        </w:rPr>
        <w:t>-</w:t>
      </w:r>
      <w:r w:rsidR="000A6793" w:rsidRPr="002A3A7C">
        <w:rPr>
          <w:rFonts w:ascii="Times New Roman" w:hAnsi="Times New Roman" w:cs="Times New Roman"/>
          <w:sz w:val="20"/>
          <w:szCs w:val="20"/>
        </w:rPr>
        <w:t xml:space="preserve"> indicates a transaction</w:t>
      </w:r>
      <w:r w:rsidRPr="002A3A7C">
        <w:rPr>
          <w:rFonts w:ascii="Times New Roman" w:hAnsi="Times New Roman" w:cs="Times New Roman"/>
          <w:sz w:val="20"/>
          <w:szCs w:val="20"/>
        </w:rPr>
        <w:t xml:space="preserve"> ‘cost’; </w:t>
      </w:r>
      <w:r w:rsidR="009317A4">
        <w:rPr>
          <w:rFonts w:ascii="Times New Roman" w:hAnsi="Times New Roman" w:cs="Times New Roman"/>
          <w:sz w:val="20"/>
          <w:szCs w:val="20"/>
        </w:rPr>
        <w:t xml:space="preserve"> </w:t>
      </w:r>
      <w:r w:rsidRPr="002A3A7C">
        <w:rPr>
          <w:rFonts w:ascii="Times New Roman" w:hAnsi="Times New Roman" w:cs="Times New Roman"/>
          <w:b/>
          <w:sz w:val="20"/>
          <w:szCs w:val="20"/>
        </w:rPr>
        <w:t>+</w:t>
      </w:r>
      <w:r w:rsidRPr="002A3A7C">
        <w:rPr>
          <w:rFonts w:ascii="Times New Roman" w:hAnsi="Times New Roman" w:cs="Times New Roman"/>
          <w:sz w:val="20"/>
          <w:szCs w:val="20"/>
        </w:rPr>
        <w:t xml:space="preserve"> indicates a </w:t>
      </w:r>
      <w:r w:rsidR="000A6793" w:rsidRPr="002A3A7C">
        <w:rPr>
          <w:rFonts w:ascii="Times New Roman" w:hAnsi="Times New Roman" w:cs="Times New Roman"/>
          <w:sz w:val="20"/>
          <w:szCs w:val="20"/>
        </w:rPr>
        <w:t>transaction</w:t>
      </w:r>
      <w:r w:rsidRPr="002A3A7C">
        <w:rPr>
          <w:rFonts w:ascii="Times New Roman" w:hAnsi="Times New Roman" w:cs="Times New Roman"/>
          <w:sz w:val="20"/>
          <w:szCs w:val="20"/>
        </w:rPr>
        <w:t xml:space="preserve"> ‘benefit’)</w:t>
      </w:r>
    </w:p>
    <w:tbl>
      <w:tblPr>
        <w:tblStyle w:val="TableGrid1"/>
        <w:tblW w:w="13609" w:type="dxa"/>
        <w:tblInd w:w="-318" w:type="dxa"/>
        <w:tblLook w:val="04A0" w:firstRow="1" w:lastRow="0" w:firstColumn="1" w:lastColumn="0" w:noHBand="0" w:noVBand="1"/>
      </w:tblPr>
      <w:tblGrid>
        <w:gridCol w:w="1986"/>
        <w:gridCol w:w="5953"/>
        <w:gridCol w:w="5670"/>
      </w:tblGrid>
      <w:tr w:rsidR="003D68A8" w:rsidRPr="008B63BC" w:rsidTr="006B1A5D">
        <w:trPr>
          <w:trHeight w:val="250"/>
        </w:trPr>
        <w:tc>
          <w:tcPr>
            <w:tcW w:w="1986" w:type="dxa"/>
          </w:tcPr>
          <w:p w:rsidR="003D68A8" w:rsidRPr="008B63BC" w:rsidRDefault="00CE2835" w:rsidP="003C7BA3">
            <w:pPr>
              <w:jc w:val="center"/>
              <w:rPr>
                <w:rFonts w:ascii="Times New Roman" w:hAnsi="Times New Roman" w:cs="Times New Roman"/>
                <w:b/>
                <w:sz w:val="20"/>
                <w:szCs w:val="20"/>
              </w:rPr>
            </w:pPr>
            <w:r w:rsidRPr="008B63BC">
              <w:rPr>
                <w:rFonts w:ascii="Times New Roman" w:hAnsi="Times New Roman" w:cs="Times New Roman"/>
                <w:b/>
                <w:sz w:val="20"/>
                <w:szCs w:val="20"/>
              </w:rPr>
              <w:t>Type of</w:t>
            </w:r>
            <w:r w:rsidR="003D68A8" w:rsidRPr="008B63BC">
              <w:rPr>
                <w:rFonts w:ascii="Times New Roman" w:hAnsi="Times New Roman" w:cs="Times New Roman"/>
                <w:b/>
                <w:sz w:val="20"/>
                <w:szCs w:val="20"/>
              </w:rPr>
              <w:t xml:space="preserve"> process</w:t>
            </w:r>
          </w:p>
        </w:tc>
        <w:tc>
          <w:tcPr>
            <w:tcW w:w="5953" w:type="dxa"/>
          </w:tcPr>
          <w:p w:rsidR="003D68A8" w:rsidRPr="008B63BC" w:rsidRDefault="00CE2835" w:rsidP="003C7BA3">
            <w:pPr>
              <w:jc w:val="center"/>
              <w:rPr>
                <w:rFonts w:ascii="Times New Roman" w:hAnsi="Times New Roman" w:cs="Times New Roman"/>
                <w:b/>
                <w:sz w:val="20"/>
                <w:szCs w:val="20"/>
              </w:rPr>
            </w:pPr>
            <w:r w:rsidRPr="008B63BC">
              <w:rPr>
                <w:rFonts w:ascii="Times New Roman" w:hAnsi="Times New Roman" w:cs="Times New Roman"/>
                <w:b/>
                <w:sz w:val="20"/>
                <w:szCs w:val="20"/>
              </w:rPr>
              <w:t xml:space="preserve">Regional delivery </w:t>
            </w:r>
            <w:r w:rsidR="003D68A8" w:rsidRPr="008B63BC">
              <w:rPr>
                <w:rFonts w:ascii="Times New Roman" w:hAnsi="Times New Roman" w:cs="Times New Roman"/>
                <w:b/>
                <w:sz w:val="20"/>
                <w:szCs w:val="20"/>
              </w:rPr>
              <w:t>2007-10</w:t>
            </w:r>
          </w:p>
        </w:tc>
        <w:tc>
          <w:tcPr>
            <w:tcW w:w="5670" w:type="dxa"/>
          </w:tcPr>
          <w:p w:rsidR="003D68A8" w:rsidRPr="008B63BC" w:rsidRDefault="003D68A8" w:rsidP="003C7BA3">
            <w:pPr>
              <w:jc w:val="center"/>
              <w:rPr>
                <w:rFonts w:ascii="Times New Roman" w:hAnsi="Times New Roman" w:cs="Times New Roman"/>
                <w:b/>
                <w:sz w:val="20"/>
                <w:szCs w:val="20"/>
              </w:rPr>
            </w:pPr>
            <w:r w:rsidRPr="008B63BC">
              <w:rPr>
                <w:rFonts w:ascii="Times New Roman" w:hAnsi="Times New Roman" w:cs="Times New Roman"/>
                <w:b/>
                <w:sz w:val="20"/>
                <w:szCs w:val="20"/>
              </w:rPr>
              <w:t>Centralised delivery 201</w:t>
            </w:r>
            <w:r w:rsidR="00BF457B">
              <w:rPr>
                <w:rFonts w:ascii="Times New Roman" w:hAnsi="Times New Roman" w:cs="Times New Roman"/>
                <w:b/>
                <w:sz w:val="20"/>
                <w:szCs w:val="20"/>
              </w:rPr>
              <w:t>1</w:t>
            </w:r>
            <w:r w:rsidRPr="008B63BC">
              <w:rPr>
                <w:rFonts w:ascii="Times New Roman" w:hAnsi="Times New Roman" w:cs="Times New Roman"/>
                <w:b/>
                <w:sz w:val="20"/>
                <w:szCs w:val="20"/>
              </w:rPr>
              <w:t>–14</w:t>
            </w:r>
          </w:p>
        </w:tc>
      </w:tr>
      <w:tr w:rsidR="00FD4BC8" w:rsidRPr="008B63BC" w:rsidTr="006B1A5D">
        <w:tc>
          <w:tcPr>
            <w:tcW w:w="1986" w:type="dxa"/>
          </w:tcPr>
          <w:p w:rsidR="00FD4BC8" w:rsidRPr="008B63BC" w:rsidRDefault="00FD4BC8" w:rsidP="003C7BA3">
            <w:pPr>
              <w:contextualSpacing/>
              <w:rPr>
                <w:rFonts w:ascii="Times New Roman" w:hAnsi="Times New Roman" w:cs="Times New Roman"/>
                <w:b/>
                <w:sz w:val="20"/>
                <w:szCs w:val="20"/>
              </w:rPr>
            </w:pPr>
            <w:r w:rsidRPr="008B63BC">
              <w:rPr>
                <w:rFonts w:ascii="Times New Roman" w:hAnsi="Times New Roman" w:cs="Times New Roman"/>
                <w:b/>
                <w:sz w:val="20"/>
                <w:szCs w:val="20"/>
              </w:rPr>
              <w:t>Programme /scheme design</w:t>
            </w:r>
          </w:p>
          <w:p w:rsidR="00FD4BC8" w:rsidRPr="008B63BC" w:rsidRDefault="00FD4BC8" w:rsidP="003C7BA3">
            <w:pPr>
              <w:contextualSpacing/>
              <w:rPr>
                <w:rFonts w:ascii="Times New Roman" w:hAnsi="Times New Roman" w:cs="Times New Roman"/>
                <w:b/>
                <w:sz w:val="20"/>
                <w:szCs w:val="20"/>
              </w:rPr>
            </w:pPr>
          </w:p>
        </w:tc>
        <w:tc>
          <w:tcPr>
            <w:tcW w:w="5953" w:type="dxa"/>
          </w:tcPr>
          <w:p w:rsidR="00FD4BC8" w:rsidRPr="008B63BC" w:rsidRDefault="00FD4BC8" w:rsidP="003C7BA3">
            <w:pPr>
              <w:ind w:left="317" w:hanging="282"/>
              <w:contextualSpacing/>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 xml:space="preserve">Required </w:t>
            </w:r>
            <w:r w:rsidR="00914F6C" w:rsidRPr="008B63BC">
              <w:rPr>
                <w:rFonts w:ascii="Times New Roman" w:hAnsi="Times New Roman" w:cs="Times New Roman"/>
                <w:sz w:val="20"/>
                <w:szCs w:val="20"/>
              </w:rPr>
              <w:t xml:space="preserve">multi-agency coordination, </w:t>
            </w:r>
            <w:r w:rsidRPr="008B63BC">
              <w:rPr>
                <w:rFonts w:ascii="Times New Roman" w:hAnsi="Times New Roman" w:cs="Times New Roman"/>
                <w:sz w:val="20"/>
                <w:szCs w:val="20"/>
              </w:rPr>
              <w:t>implementation</w:t>
            </w:r>
          </w:p>
          <w:p w:rsidR="003C5BB3" w:rsidRPr="008B63BC" w:rsidRDefault="00FD4BC8" w:rsidP="003C7BA3">
            <w:pPr>
              <w:ind w:left="317" w:hanging="282"/>
              <w:contextualSpacing/>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 xml:space="preserve">Extensive consultation </w:t>
            </w:r>
            <w:r w:rsidR="00914157" w:rsidRPr="008B63BC">
              <w:rPr>
                <w:rFonts w:ascii="Times New Roman" w:hAnsi="Times New Roman" w:cs="Times New Roman"/>
                <w:sz w:val="20"/>
                <w:szCs w:val="20"/>
              </w:rPr>
              <w:t xml:space="preserve">to design integrated </w:t>
            </w:r>
            <w:r w:rsidRPr="008B63BC">
              <w:rPr>
                <w:rFonts w:ascii="Times New Roman" w:hAnsi="Times New Roman" w:cs="Times New Roman"/>
                <w:sz w:val="20"/>
                <w:szCs w:val="20"/>
              </w:rPr>
              <w:t>schemes</w:t>
            </w:r>
          </w:p>
          <w:p w:rsidR="00FD4BC8" w:rsidRPr="008B63BC" w:rsidRDefault="003C5BB3" w:rsidP="003C7BA3">
            <w:pPr>
              <w:ind w:left="317" w:hanging="282"/>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H</w:t>
            </w:r>
            <w:r w:rsidR="00FD4BC8" w:rsidRPr="008B63BC">
              <w:rPr>
                <w:rFonts w:ascii="Times New Roman" w:hAnsi="Times New Roman" w:cs="Times New Roman"/>
                <w:sz w:val="20"/>
                <w:szCs w:val="20"/>
              </w:rPr>
              <w:t xml:space="preserve">igh stakeholder engagement and support </w:t>
            </w:r>
          </w:p>
          <w:p w:rsidR="00FD4BC8" w:rsidRPr="008B63BC" w:rsidRDefault="00FD4BC8" w:rsidP="003C7BA3">
            <w:pPr>
              <w:ind w:left="317" w:hanging="282"/>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Programme tailored to address local problems/issues</w:t>
            </w:r>
          </w:p>
          <w:p w:rsidR="00FD4BC8" w:rsidRPr="008B63BC" w:rsidRDefault="00FD4BC8" w:rsidP="003C7BA3">
            <w:pPr>
              <w:ind w:left="317" w:hanging="282"/>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Large-scale regional projects act</w:t>
            </w:r>
            <w:r w:rsidR="00BF457B">
              <w:rPr>
                <w:rFonts w:ascii="Times New Roman" w:hAnsi="Times New Roman" w:cs="Times New Roman"/>
                <w:sz w:val="20"/>
                <w:szCs w:val="20"/>
              </w:rPr>
              <w:t>ed</w:t>
            </w:r>
            <w:r w:rsidRPr="008B63BC">
              <w:rPr>
                <w:rFonts w:ascii="Times New Roman" w:hAnsi="Times New Roman" w:cs="Times New Roman"/>
                <w:sz w:val="20"/>
                <w:szCs w:val="20"/>
              </w:rPr>
              <w:t xml:space="preserve"> as investment catalysts</w:t>
            </w:r>
          </w:p>
        </w:tc>
        <w:tc>
          <w:tcPr>
            <w:tcW w:w="5670" w:type="dxa"/>
          </w:tcPr>
          <w:p w:rsidR="00FD4BC8" w:rsidRPr="008B63BC" w:rsidRDefault="00FD4BC8" w:rsidP="003C7BA3">
            <w:pPr>
              <w:ind w:left="317" w:right="318" w:hanging="283"/>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 xml:space="preserve">Regional priorities lost </w:t>
            </w:r>
          </w:p>
          <w:p w:rsidR="00FD4BC8" w:rsidRPr="008B63BC" w:rsidRDefault="00FD4BC8" w:rsidP="003C7BA3">
            <w:pPr>
              <w:ind w:left="317" w:right="318" w:hanging="283"/>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00914157" w:rsidRPr="008B63BC">
              <w:rPr>
                <w:rFonts w:ascii="Times New Roman" w:hAnsi="Times New Roman" w:cs="Times New Roman"/>
                <w:sz w:val="20"/>
                <w:szCs w:val="20"/>
              </w:rPr>
              <w:t>Programme less</w:t>
            </w:r>
            <w:r w:rsidRPr="008B63BC">
              <w:rPr>
                <w:rFonts w:ascii="Times New Roman" w:hAnsi="Times New Roman" w:cs="Times New Roman"/>
                <w:sz w:val="20"/>
                <w:szCs w:val="20"/>
              </w:rPr>
              <w:t xml:space="preserve"> adapt</w:t>
            </w:r>
            <w:r w:rsidR="00914157" w:rsidRPr="008B63BC">
              <w:rPr>
                <w:rFonts w:ascii="Times New Roman" w:hAnsi="Times New Roman" w:cs="Times New Roman"/>
                <w:sz w:val="20"/>
                <w:szCs w:val="20"/>
              </w:rPr>
              <w:t>ed</w:t>
            </w:r>
            <w:r w:rsidRPr="008B63BC">
              <w:rPr>
                <w:rFonts w:ascii="Times New Roman" w:hAnsi="Times New Roman" w:cs="Times New Roman"/>
                <w:sz w:val="20"/>
                <w:szCs w:val="20"/>
              </w:rPr>
              <w:t xml:space="preserve"> to regional conditions</w:t>
            </w:r>
          </w:p>
          <w:p w:rsidR="00FD4BC8" w:rsidRPr="008B63BC" w:rsidRDefault="00FD4BC8" w:rsidP="003C7BA3">
            <w:pPr>
              <w:ind w:left="317" w:hanging="283"/>
              <w:contextualSpacing/>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  Picked up </w:t>
            </w:r>
            <w:r w:rsidR="00914157" w:rsidRPr="008B63BC">
              <w:rPr>
                <w:rFonts w:ascii="Times New Roman" w:hAnsi="Times New Roman" w:cs="Times New Roman"/>
                <w:sz w:val="20"/>
                <w:szCs w:val="20"/>
              </w:rPr>
              <w:t xml:space="preserve">national </w:t>
            </w:r>
            <w:r w:rsidRPr="008B63BC">
              <w:rPr>
                <w:rFonts w:ascii="Times New Roman" w:hAnsi="Times New Roman" w:cs="Times New Roman"/>
                <w:sz w:val="20"/>
                <w:szCs w:val="20"/>
              </w:rPr>
              <w:t xml:space="preserve">issues </w:t>
            </w:r>
            <w:r w:rsidR="00914157" w:rsidRPr="008B63BC">
              <w:rPr>
                <w:rFonts w:ascii="Times New Roman" w:hAnsi="Times New Roman" w:cs="Times New Roman"/>
                <w:sz w:val="20"/>
                <w:szCs w:val="20"/>
              </w:rPr>
              <w:t>more strongly</w:t>
            </w:r>
            <w:r w:rsidRPr="008B63BC">
              <w:rPr>
                <w:rFonts w:ascii="Times New Roman" w:hAnsi="Times New Roman" w:cs="Times New Roman"/>
                <w:sz w:val="20"/>
                <w:szCs w:val="20"/>
              </w:rPr>
              <w:t xml:space="preserve"> </w:t>
            </w:r>
          </w:p>
          <w:p w:rsidR="00FD4BC8" w:rsidRPr="008B63BC" w:rsidRDefault="00FD4BC8" w:rsidP="003C7BA3">
            <w:pPr>
              <w:ind w:left="317" w:hanging="283"/>
              <w:contextualSpacing/>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Training delivery </w:t>
            </w:r>
            <w:r w:rsidR="00914157" w:rsidRPr="008B63BC">
              <w:rPr>
                <w:rFonts w:ascii="Times New Roman" w:hAnsi="Times New Roman" w:cs="Times New Roman"/>
                <w:sz w:val="20"/>
                <w:szCs w:val="20"/>
              </w:rPr>
              <w:t>more economically-</w:t>
            </w:r>
            <w:r w:rsidRPr="008B63BC">
              <w:rPr>
                <w:rFonts w:ascii="Times New Roman" w:hAnsi="Times New Roman" w:cs="Times New Roman"/>
                <w:sz w:val="20"/>
                <w:szCs w:val="20"/>
              </w:rPr>
              <w:t>efficient</w:t>
            </w:r>
          </w:p>
        </w:tc>
      </w:tr>
      <w:tr w:rsidR="003D68A8" w:rsidRPr="008B63BC" w:rsidTr="006B1A5D">
        <w:trPr>
          <w:trHeight w:val="1321"/>
        </w:trPr>
        <w:tc>
          <w:tcPr>
            <w:tcW w:w="1986" w:type="dxa"/>
          </w:tcPr>
          <w:p w:rsidR="003D68A8" w:rsidRPr="008B63BC" w:rsidRDefault="003D68A8" w:rsidP="003C7BA3">
            <w:pPr>
              <w:contextualSpacing/>
              <w:rPr>
                <w:rFonts w:ascii="Times New Roman" w:hAnsi="Times New Roman" w:cs="Times New Roman"/>
                <w:b/>
                <w:sz w:val="20"/>
                <w:szCs w:val="20"/>
              </w:rPr>
            </w:pPr>
            <w:r w:rsidRPr="008B63BC">
              <w:rPr>
                <w:rFonts w:ascii="Times New Roman" w:hAnsi="Times New Roman" w:cs="Times New Roman"/>
                <w:b/>
                <w:sz w:val="20"/>
                <w:szCs w:val="20"/>
              </w:rPr>
              <w:t xml:space="preserve"> Knowledge and information</w:t>
            </w:r>
          </w:p>
          <w:p w:rsidR="003D68A8" w:rsidRPr="008B63BC" w:rsidRDefault="003D68A8" w:rsidP="003C7BA3">
            <w:pPr>
              <w:ind w:left="-42"/>
              <w:rPr>
                <w:rFonts w:ascii="Times New Roman" w:hAnsi="Times New Roman" w:cs="Times New Roman"/>
                <w:b/>
                <w:sz w:val="20"/>
                <w:szCs w:val="20"/>
              </w:rPr>
            </w:pPr>
          </w:p>
        </w:tc>
        <w:tc>
          <w:tcPr>
            <w:tcW w:w="5953" w:type="dxa"/>
          </w:tcPr>
          <w:p w:rsidR="003D68A8" w:rsidRPr="008B63BC" w:rsidRDefault="003D68A8" w:rsidP="003C7BA3">
            <w:pPr>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   High level of resources</w:t>
            </w:r>
            <w:r w:rsidR="002514E2">
              <w:rPr>
                <w:rFonts w:ascii="Times New Roman" w:hAnsi="Times New Roman" w:cs="Times New Roman"/>
                <w:sz w:val="20"/>
                <w:szCs w:val="20"/>
              </w:rPr>
              <w:t xml:space="preserve"> spent on</w:t>
            </w:r>
            <w:r w:rsidR="00914157" w:rsidRPr="008B63BC">
              <w:rPr>
                <w:rFonts w:ascii="Times New Roman" w:hAnsi="Times New Roman" w:cs="Times New Roman"/>
                <w:sz w:val="20"/>
                <w:szCs w:val="20"/>
              </w:rPr>
              <w:t xml:space="preserve"> information and advice</w:t>
            </w:r>
          </w:p>
          <w:p w:rsidR="00336D78" w:rsidRPr="008B63BC" w:rsidRDefault="00566E17" w:rsidP="003C7BA3">
            <w:pPr>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 xml:space="preserve"> Application rules and processes not always understood</w:t>
            </w:r>
            <w:r w:rsidR="00914157" w:rsidRPr="008B63BC">
              <w:rPr>
                <w:rFonts w:ascii="Times New Roman" w:hAnsi="Times New Roman" w:cs="Times New Roman"/>
                <w:sz w:val="20"/>
                <w:szCs w:val="20"/>
              </w:rPr>
              <w:t>:</w:t>
            </w:r>
          </w:p>
          <w:p w:rsidR="00566E17" w:rsidRPr="008B63BC" w:rsidRDefault="00336D78" w:rsidP="003C7BA3">
            <w:pPr>
              <w:contextualSpacing/>
              <w:rPr>
                <w:rFonts w:ascii="Times New Roman" w:hAnsi="Times New Roman" w:cs="Times New Roman"/>
                <w:sz w:val="20"/>
                <w:szCs w:val="20"/>
              </w:rPr>
            </w:pPr>
            <w:r w:rsidRPr="008B63BC">
              <w:rPr>
                <w:rFonts w:ascii="Times New Roman" w:hAnsi="Times New Roman" w:cs="Times New Roman"/>
                <w:sz w:val="20"/>
                <w:szCs w:val="20"/>
              </w:rPr>
              <w:t xml:space="preserve">     </w:t>
            </w:r>
            <w:r w:rsidR="00914157" w:rsidRPr="008B63BC">
              <w:rPr>
                <w:rFonts w:ascii="Times New Roman" w:hAnsi="Times New Roman" w:cs="Times New Roman"/>
                <w:sz w:val="20"/>
                <w:szCs w:val="20"/>
              </w:rPr>
              <w:t>m</w:t>
            </w:r>
            <w:r w:rsidR="00566E17" w:rsidRPr="008B63BC">
              <w:rPr>
                <w:rFonts w:ascii="Times New Roman" w:hAnsi="Times New Roman" w:cs="Times New Roman"/>
                <w:sz w:val="20"/>
                <w:szCs w:val="20"/>
              </w:rPr>
              <w:t>icro-enterprises</w:t>
            </w:r>
            <w:r w:rsidR="003C5BB3" w:rsidRPr="008B63BC">
              <w:rPr>
                <w:rFonts w:ascii="Times New Roman" w:hAnsi="Times New Roman" w:cs="Times New Roman"/>
                <w:sz w:val="20"/>
                <w:szCs w:val="20"/>
              </w:rPr>
              <w:t xml:space="preserve"> found </w:t>
            </w:r>
            <w:r w:rsidR="00BF457B">
              <w:rPr>
                <w:rFonts w:ascii="Times New Roman" w:hAnsi="Times New Roman" w:cs="Times New Roman"/>
                <w:sz w:val="20"/>
                <w:szCs w:val="20"/>
              </w:rPr>
              <w:t xml:space="preserve">the </w:t>
            </w:r>
            <w:r w:rsidR="00566E17" w:rsidRPr="008B63BC">
              <w:rPr>
                <w:rFonts w:ascii="Times New Roman" w:hAnsi="Times New Roman" w:cs="Times New Roman"/>
                <w:sz w:val="20"/>
                <w:szCs w:val="20"/>
              </w:rPr>
              <w:t xml:space="preserve">process complex and difficult </w:t>
            </w:r>
          </w:p>
          <w:p w:rsidR="003D68A8" w:rsidRPr="008B63BC" w:rsidRDefault="003D68A8" w:rsidP="003C7BA3">
            <w:pPr>
              <w:contextualSpacing/>
              <w:rPr>
                <w:rFonts w:ascii="Times New Roman" w:hAnsi="Times New Roman" w:cs="Times New Roman"/>
                <w:sz w:val="20"/>
                <w:szCs w:val="20"/>
              </w:rPr>
            </w:pPr>
            <w:r w:rsidRPr="008B63BC">
              <w:rPr>
                <w:rFonts w:ascii="Times New Roman" w:hAnsi="Times New Roman" w:cs="Times New Roman"/>
                <w:b/>
                <w:sz w:val="20"/>
                <w:szCs w:val="20"/>
              </w:rPr>
              <w:t>+</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Delivery personnel underst</w:t>
            </w:r>
            <w:r w:rsidR="002514E2">
              <w:rPr>
                <w:rFonts w:ascii="Times New Roman" w:hAnsi="Times New Roman" w:cs="Times New Roman"/>
                <w:sz w:val="20"/>
                <w:szCs w:val="20"/>
              </w:rPr>
              <w:t>oo</w:t>
            </w:r>
            <w:r w:rsidRPr="008B63BC">
              <w:rPr>
                <w:rFonts w:ascii="Times New Roman" w:hAnsi="Times New Roman" w:cs="Times New Roman"/>
                <w:sz w:val="20"/>
                <w:szCs w:val="20"/>
              </w:rPr>
              <w:t xml:space="preserve">d regional objectives </w:t>
            </w:r>
          </w:p>
          <w:p w:rsidR="003D68A8" w:rsidRPr="008B63BC" w:rsidRDefault="003D68A8" w:rsidP="003C7BA3">
            <w:pPr>
              <w:contextualSpacing/>
              <w:rPr>
                <w:rFonts w:ascii="Times New Roman" w:hAnsi="Times New Roman" w:cs="Times New Roman"/>
                <w:sz w:val="20"/>
                <w:szCs w:val="20"/>
              </w:rPr>
            </w:pPr>
            <w:r w:rsidRPr="008B63BC">
              <w:rPr>
                <w:rFonts w:ascii="Times New Roman" w:hAnsi="Times New Roman" w:cs="Times New Roman"/>
                <w:b/>
                <w:sz w:val="20"/>
                <w:szCs w:val="20"/>
              </w:rPr>
              <w:t xml:space="preserve">+ </w:t>
            </w:r>
            <w:r w:rsidR="00336D78" w:rsidRPr="008B63BC">
              <w:rPr>
                <w:rFonts w:ascii="Times New Roman" w:hAnsi="Times New Roman" w:cs="Times New Roman"/>
                <w:sz w:val="20"/>
                <w:szCs w:val="20"/>
              </w:rPr>
              <w:t xml:space="preserve">  </w:t>
            </w:r>
            <w:r w:rsidR="002514E2">
              <w:rPr>
                <w:rFonts w:ascii="Times New Roman" w:hAnsi="Times New Roman" w:cs="Times New Roman"/>
                <w:sz w:val="20"/>
                <w:szCs w:val="20"/>
              </w:rPr>
              <w:t xml:space="preserve">Developed good </w:t>
            </w:r>
            <w:r w:rsidR="00336D78" w:rsidRPr="008B63BC">
              <w:rPr>
                <w:rFonts w:ascii="Times New Roman" w:hAnsi="Times New Roman" w:cs="Times New Roman"/>
                <w:sz w:val="20"/>
                <w:szCs w:val="20"/>
              </w:rPr>
              <w:t xml:space="preserve">understanding </w:t>
            </w:r>
            <w:r w:rsidR="003C7BA3">
              <w:rPr>
                <w:rFonts w:ascii="Times New Roman" w:hAnsi="Times New Roman" w:cs="Times New Roman"/>
                <w:sz w:val="20"/>
                <w:szCs w:val="20"/>
              </w:rPr>
              <w:t xml:space="preserve">by </w:t>
            </w:r>
            <w:r w:rsidRPr="008B63BC">
              <w:rPr>
                <w:rFonts w:ascii="Times New Roman" w:hAnsi="Times New Roman" w:cs="Times New Roman"/>
                <w:sz w:val="20"/>
                <w:szCs w:val="20"/>
              </w:rPr>
              <w:t>beneficiaries and potential beneficiaries</w:t>
            </w:r>
            <w:r w:rsidR="002514E2">
              <w:rPr>
                <w:rFonts w:ascii="Times New Roman" w:hAnsi="Times New Roman" w:cs="Times New Roman"/>
                <w:sz w:val="20"/>
                <w:szCs w:val="20"/>
              </w:rPr>
              <w:t xml:space="preserve"> of Programme and its aims</w:t>
            </w:r>
            <w:r w:rsidRPr="008B63BC">
              <w:rPr>
                <w:rFonts w:ascii="Times New Roman" w:hAnsi="Times New Roman" w:cs="Times New Roman"/>
                <w:sz w:val="20"/>
                <w:szCs w:val="20"/>
              </w:rPr>
              <w:t xml:space="preserve"> </w:t>
            </w:r>
          </w:p>
        </w:tc>
        <w:tc>
          <w:tcPr>
            <w:tcW w:w="5670" w:type="dxa"/>
          </w:tcPr>
          <w:p w:rsidR="00336D78" w:rsidRPr="008B63BC" w:rsidRDefault="003D68A8" w:rsidP="003C7BA3">
            <w:pPr>
              <w:ind w:left="317" w:hanging="317"/>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   </w:t>
            </w:r>
            <w:r w:rsidR="002514E2">
              <w:rPr>
                <w:rFonts w:ascii="Times New Roman" w:hAnsi="Times New Roman" w:cs="Times New Roman"/>
                <w:sz w:val="20"/>
                <w:szCs w:val="20"/>
              </w:rPr>
              <w:t>Much less</w:t>
            </w:r>
            <w:r w:rsidRPr="008B63BC">
              <w:rPr>
                <w:rFonts w:ascii="Times New Roman" w:hAnsi="Times New Roman" w:cs="Times New Roman"/>
                <w:sz w:val="20"/>
                <w:szCs w:val="20"/>
              </w:rPr>
              <w:t xml:space="preserve"> information </w:t>
            </w:r>
            <w:r w:rsidR="002514E2">
              <w:rPr>
                <w:rFonts w:ascii="Times New Roman" w:hAnsi="Times New Roman" w:cs="Times New Roman"/>
                <w:sz w:val="20"/>
                <w:szCs w:val="20"/>
              </w:rPr>
              <w:t xml:space="preserve">provided </w:t>
            </w:r>
            <w:r w:rsidR="00914157" w:rsidRPr="008B63BC">
              <w:rPr>
                <w:rFonts w:ascii="Times New Roman" w:hAnsi="Times New Roman" w:cs="Times New Roman"/>
                <w:sz w:val="20"/>
                <w:szCs w:val="20"/>
              </w:rPr>
              <w:t>to beneficiaries</w:t>
            </w:r>
            <w:r w:rsidR="002514E2">
              <w:rPr>
                <w:rFonts w:ascii="Times New Roman" w:hAnsi="Times New Roman" w:cs="Times New Roman"/>
                <w:sz w:val="20"/>
                <w:szCs w:val="20"/>
              </w:rPr>
              <w:t xml:space="preserve"> and potential beneficiaries</w:t>
            </w:r>
            <w:r w:rsidRPr="008B63BC">
              <w:rPr>
                <w:rFonts w:ascii="Times New Roman" w:hAnsi="Times New Roman" w:cs="Times New Roman"/>
                <w:sz w:val="20"/>
                <w:szCs w:val="20"/>
              </w:rPr>
              <w:t xml:space="preserve"> </w:t>
            </w:r>
          </w:p>
          <w:p w:rsidR="003D68A8" w:rsidRPr="008B63BC" w:rsidRDefault="003D68A8" w:rsidP="003C7BA3">
            <w:pPr>
              <w:ind w:left="317" w:hanging="317"/>
              <w:rPr>
                <w:rFonts w:ascii="Times New Roman" w:hAnsi="Times New Roman" w:cs="Times New Roman"/>
                <w:sz w:val="20"/>
                <w:szCs w:val="20"/>
              </w:rPr>
            </w:pPr>
            <w:r w:rsidRPr="008B63BC">
              <w:rPr>
                <w:rFonts w:ascii="Times New Roman" w:hAnsi="Times New Roman" w:cs="Times New Roman"/>
                <w:b/>
                <w:sz w:val="20"/>
                <w:szCs w:val="20"/>
              </w:rPr>
              <w:t xml:space="preserve">-    </w:t>
            </w:r>
            <w:r w:rsidR="00336D78" w:rsidRPr="008B63BC">
              <w:rPr>
                <w:rFonts w:ascii="Times New Roman" w:hAnsi="Times New Roman" w:cs="Times New Roman"/>
                <w:sz w:val="20"/>
                <w:szCs w:val="20"/>
              </w:rPr>
              <w:t>L</w:t>
            </w:r>
            <w:r w:rsidR="00914157" w:rsidRPr="008B63BC">
              <w:rPr>
                <w:rFonts w:ascii="Times New Roman" w:hAnsi="Times New Roman" w:cs="Times New Roman"/>
                <w:sz w:val="20"/>
                <w:szCs w:val="20"/>
              </w:rPr>
              <w:t>ess</w:t>
            </w:r>
            <w:r w:rsidR="003C5BB3" w:rsidRPr="008B63BC">
              <w:rPr>
                <w:rFonts w:ascii="Times New Roman" w:hAnsi="Times New Roman" w:cs="Times New Roman"/>
                <w:sz w:val="20"/>
                <w:szCs w:val="20"/>
              </w:rPr>
              <w:t xml:space="preserve"> </w:t>
            </w:r>
            <w:r w:rsidR="00914157" w:rsidRPr="008B63BC">
              <w:rPr>
                <w:rFonts w:ascii="Times New Roman" w:hAnsi="Times New Roman" w:cs="Times New Roman"/>
                <w:sz w:val="20"/>
                <w:szCs w:val="20"/>
              </w:rPr>
              <w:t xml:space="preserve">engagement </w:t>
            </w:r>
            <w:r w:rsidR="00C11DB6" w:rsidRPr="008B63BC">
              <w:rPr>
                <w:rFonts w:ascii="Times New Roman" w:hAnsi="Times New Roman" w:cs="Times New Roman"/>
                <w:sz w:val="20"/>
                <w:szCs w:val="20"/>
              </w:rPr>
              <w:t>of</w:t>
            </w:r>
            <w:r w:rsidR="008477D0" w:rsidRPr="008B63BC">
              <w:rPr>
                <w:rFonts w:ascii="Times New Roman" w:hAnsi="Times New Roman" w:cs="Times New Roman"/>
                <w:sz w:val="20"/>
                <w:szCs w:val="20"/>
              </w:rPr>
              <w:t xml:space="preserve"> </w:t>
            </w:r>
            <w:r w:rsidR="002514E2">
              <w:rPr>
                <w:rFonts w:ascii="Times New Roman" w:hAnsi="Times New Roman" w:cs="Times New Roman"/>
                <w:sz w:val="20"/>
                <w:szCs w:val="20"/>
              </w:rPr>
              <w:t xml:space="preserve">local </w:t>
            </w:r>
            <w:r w:rsidR="008477D0" w:rsidRPr="008B63BC">
              <w:rPr>
                <w:rFonts w:ascii="Times New Roman" w:hAnsi="Times New Roman" w:cs="Times New Roman"/>
                <w:sz w:val="20"/>
                <w:szCs w:val="20"/>
              </w:rPr>
              <w:t>staff</w:t>
            </w:r>
            <w:r w:rsidR="00F24910" w:rsidRPr="008B63BC">
              <w:rPr>
                <w:rFonts w:ascii="Times New Roman" w:hAnsi="Times New Roman" w:cs="Times New Roman"/>
                <w:sz w:val="20"/>
                <w:szCs w:val="20"/>
              </w:rPr>
              <w:t xml:space="preserve">, </w:t>
            </w:r>
            <w:r w:rsidRPr="008B63BC">
              <w:rPr>
                <w:rFonts w:ascii="Times New Roman" w:hAnsi="Times New Roman" w:cs="Times New Roman"/>
                <w:sz w:val="20"/>
                <w:szCs w:val="20"/>
              </w:rPr>
              <w:t>stakeholders</w:t>
            </w:r>
            <w:r w:rsidR="00914F6C" w:rsidRPr="008B63BC">
              <w:rPr>
                <w:rFonts w:ascii="Times New Roman" w:hAnsi="Times New Roman" w:cs="Times New Roman"/>
                <w:sz w:val="20"/>
                <w:szCs w:val="20"/>
              </w:rPr>
              <w:t>,</w:t>
            </w:r>
            <w:r w:rsidRPr="008B63BC">
              <w:rPr>
                <w:rFonts w:ascii="Times New Roman" w:hAnsi="Times New Roman" w:cs="Times New Roman"/>
                <w:sz w:val="20"/>
                <w:szCs w:val="20"/>
              </w:rPr>
              <w:t xml:space="preserve"> communities </w:t>
            </w:r>
          </w:p>
          <w:p w:rsidR="00566E17" w:rsidRPr="008B63BC" w:rsidRDefault="00566E17" w:rsidP="003C7BA3">
            <w:pPr>
              <w:ind w:left="317" w:hanging="317"/>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914157" w:rsidRPr="008B63BC">
              <w:rPr>
                <w:rFonts w:ascii="Times New Roman" w:hAnsi="Times New Roman" w:cs="Times New Roman"/>
                <w:sz w:val="20"/>
                <w:szCs w:val="20"/>
              </w:rPr>
              <w:t>Perceived lack of expertise in</w:t>
            </w:r>
            <w:r w:rsidRPr="008B63BC">
              <w:rPr>
                <w:rFonts w:ascii="Times New Roman" w:hAnsi="Times New Roman" w:cs="Times New Roman"/>
                <w:sz w:val="20"/>
                <w:szCs w:val="20"/>
              </w:rPr>
              <w:t xml:space="preserve"> </w:t>
            </w:r>
            <w:r w:rsidR="00914157" w:rsidRPr="008B63BC">
              <w:rPr>
                <w:rFonts w:ascii="Times New Roman" w:hAnsi="Times New Roman" w:cs="Times New Roman"/>
                <w:sz w:val="20"/>
                <w:szCs w:val="20"/>
              </w:rPr>
              <w:t>scoring</w:t>
            </w:r>
            <w:r w:rsidRPr="008B63BC">
              <w:rPr>
                <w:rFonts w:ascii="Times New Roman" w:hAnsi="Times New Roman" w:cs="Times New Roman"/>
                <w:sz w:val="20"/>
                <w:szCs w:val="20"/>
              </w:rPr>
              <w:t xml:space="preserve"> applications</w:t>
            </w:r>
          </w:p>
          <w:p w:rsidR="003D68A8" w:rsidRPr="008B63BC" w:rsidRDefault="00566E17" w:rsidP="003C7BA3">
            <w:pPr>
              <w:ind w:left="317" w:hanging="317"/>
              <w:contextualSpacing/>
              <w:rPr>
                <w:rFonts w:ascii="Times New Roman" w:hAnsi="Times New Roman" w:cs="Times New Roman"/>
                <w:b/>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Delivery </w:t>
            </w:r>
            <w:r w:rsidR="00F24910" w:rsidRPr="008B63BC">
              <w:rPr>
                <w:rFonts w:ascii="Times New Roman" w:hAnsi="Times New Roman" w:cs="Times New Roman"/>
                <w:sz w:val="20"/>
                <w:szCs w:val="20"/>
              </w:rPr>
              <w:t>staff</w:t>
            </w:r>
            <w:r w:rsidR="003C5BB3" w:rsidRPr="008B63BC">
              <w:rPr>
                <w:rFonts w:ascii="Times New Roman" w:hAnsi="Times New Roman" w:cs="Times New Roman"/>
                <w:sz w:val="20"/>
                <w:szCs w:val="20"/>
              </w:rPr>
              <w:t xml:space="preserve"> d</w:t>
            </w:r>
            <w:r w:rsidR="002514E2">
              <w:rPr>
                <w:rFonts w:ascii="Times New Roman" w:hAnsi="Times New Roman" w:cs="Times New Roman"/>
                <w:sz w:val="20"/>
                <w:szCs w:val="20"/>
              </w:rPr>
              <w:t>id</w:t>
            </w:r>
            <w:r w:rsidR="003C5BB3" w:rsidRPr="008B63BC">
              <w:rPr>
                <w:rFonts w:ascii="Times New Roman" w:hAnsi="Times New Roman" w:cs="Times New Roman"/>
                <w:sz w:val="20"/>
                <w:szCs w:val="20"/>
              </w:rPr>
              <w:t>n’t</w:t>
            </w:r>
            <w:r w:rsidRPr="008B63BC">
              <w:rPr>
                <w:rFonts w:ascii="Times New Roman" w:hAnsi="Times New Roman" w:cs="Times New Roman"/>
                <w:sz w:val="20"/>
                <w:szCs w:val="20"/>
              </w:rPr>
              <w:t xml:space="preserve"> understand </w:t>
            </w:r>
            <w:r w:rsidR="00C11DB6" w:rsidRPr="008B63BC">
              <w:rPr>
                <w:rFonts w:ascii="Times New Roman" w:hAnsi="Times New Roman" w:cs="Times New Roman"/>
                <w:sz w:val="20"/>
                <w:szCs w:val="20"/>
              </w:rPr>
              <w:t>regional &amp;</w:t>
            </w:r>
            <w:r w:rsidR="00914F6C" w:rsidRPr="008B63BC">
              <w:rPr>
                <w:rFonts w:ascii="Times New Roman" w:hAnsi="Times New Roman" w:cs="Times New Roman"/>
                <w:sz w:val="20"/>
                <w:szCs w:val="20"/>
              </w:rPr>
              <w:t xml:space="preserve"> local needs</w:t>
            </w:r>
          </w:p>
          <w:p w:rsidR="003D68A8" w:rsidRPr="008B63BC" w:rsidRDefault="003D68A8" w:rsidP="003C7BA3">
            <w:pPr>
              <w:ind w:left="317" w:hanging="317"/>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Standardised delivery</w:t>
            </w:r>
            <w:r w:rsidR="002514E2">
              <w:rPr>
                <w:rFonts w:ascii="Times New Roman" w:hAnsi="Times New Roman" w:cs="Times New Roman"/>
                <w:sz w:val="20"/>
                <w:szCs w:val="20"/>
              </w:rPr>
              <w:t xml:space="preserve"> approach affords economies of scale</w:t>
            </w:r>
          </w:p>
        </w:tc>
      </w:tr>
      <w:tr w:rsidR="003D68A8" w:rsidRPr="008B63BC" w:rsidTr="006B1A5D">
        <w:tc>
          <w:tcPr>
            <w:tcW w:w="1986" w:type="dxa"/>
          </w:tcPr>
          <w:p w:rsidR="003D68A8" w:rsidRPr="008B63BC" w:rsidRDefault="003D68A8" w:rsidP="003C7BA3">
            <w:pPr>
              <w:rPr>
                <w:rFonts w:ascii="Times New Roman" w:hAnsi="Times New Roman" w:cs="Times New Roman"/>
                <w:i/>
                <w:sz w:val="20"/>
                <w:szCs w:val="20"/>
              </w:rPr>
            </w:pPr>
            <w:r w:rsidRPr="008B63BC">
              <w:rPr>
                <w:rFonts w:ascii="Times New Roman" w:hAnsi="Times New Roman" w:cs="Times New Roman"/>
                <w:b/>
                <w:sz w:val="20"/>
                <w:szCs w:val="20"/>
              </w:rPr>
              <w:t>Application</w:t>
            </w:r>
            <w:r w:rsidRPr="008B63BC">
              <w:rPr>
                <w:rFonts w:ascii="Times New Roman" w:hAnsi="Times New Roman" w:cs="Times New Roman"/>
                <w:i/>
                <w:sz w:val="20"/>
                <w:szCs w:val="20"/>
              </w:rPr>
              <w:t xml:space="preserve"> </w:t>
            </w:r>
          </w:p>
          <w:p w:rsidR="003D68A8" w:rsidRPr="008B63BC" w:rsidRDefault="003D68A8" w:rsidP="003C7BA3">
            <w:pPr>
              <w:rPr>
                <w:rFonts w:ascii="Times New Roman" w:hAnsi="Times New Roman" w:cs="Times New Roman"/>
                <w:i/>
                <w:sz w:val="20"/>
                <w:szCs w:val="20"/>
              </w:rPr>
            </w:pPr>
          </w:p>
          <w:p w:rsidR="003D68A8" w:rsidRPr="008B63BC" w:rsidRDefault="003D68A8" w:rsidP="003C7BA3">
            <w:pPr>
              <w:ind w:left="66"/>
              <w:rPr>
                <w:rFonts w:ascii="Times New Roman" w:hAnsi="Times New Roman" w:cs="Times New Roman"/>
                <w:sz w:val="20"/>
                <w:szCs w:val="20"/>
              </w:rPr>
            </w:pPr>
          </w:p>
        </w:tc>
        <w:tc>
          <w:tcPr>
            <w:tcW w:w="5953" w:type="dxa"/>
          </w:tcPr>
          <w:p w:rsidR="003D68A8" w:rsidRPr="008B63BC" w:rsidRDefault="003D68A8" w:rsidP="003C7BA3">
            <w:pPr>
              <w:ind w:left="317" w:hanging="283"/>
              <w:contextualSpacing/>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Multiple decision</w:t>
            </w:r>
            <w:r w:rsidR="002514E2">
              <w:rPr>
                <w:rFonts w:ascii="Times New Roman" w:hAnsi="Times New Roman" w:cs="Times New Roman"/>
                <w:sz w:val="20"/>
                <w:szCs w:val="20"/>
              </w:rPr>
              <w:t>-</w:t>
            </w:r>
            <w:r w:rsidRPr="008B63BC">
              <w:rPr>
                <w:rFonts w:ascii="Times New Roman" w:hAnsi="Times New Roman" w:cs="Times New Roman"/>
                <w:sz w:val="20"/>
                <w:szCs w:val="20"/>
              </w:rPr>
              <w:t>makers within each region</w:t>
            </w:r>
            <w:r w:rsidR="003C5BB3" w:rsidRPr="008B63BC">
              <w:rPr>
                <w:rFonts w:ascii="Times New Roman" w:hAnsi="Times New Roman" w:cs="Times New Roman"/>
                <w:sz w:val="20"/>
                <w:szCs w:val="20"/>
              </w:rPr>
              <w:t xml:space="preserve">, </w:t>
            </w:r>
            <w:r w:rsidRPr="008B63BC">
              <w:rPr>
                <w:rFonts w:ascii="Times New Roman" w:hAnsi="Times New Roman" w:cs="Times New Roman"/>
                <w:sz w:val="20"/>
                <w:szCs w:val="20"/>
              </w:rPr>
              <w:t>cost</w:t>
            </w:r>
            <w:r w:rsidR="003C5BB3" w:rsidRPr="008B63BC">
              <w:rPr>
                <w:rFonts w:ascii="Times New Roman" w:hAnsi="Times New Roman" w:cs="Times New Roman"/>
                <w:sz w:val="20"/>
                <w:szCs w:val="20"/>
              </w:rPr>
              <w:t>ly</w:t>
            </w:r>
          </w:p>
          <w:p w:rsidR="002514E2" w:rsidRDefault="00F24910" w:rsidP="003C7BA3">
            <w:pPr>
              <w:ind w:left="317" w:hanging="283"/>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Simpler process</w:t>
            </w:r>
            <w:r w:rsidR="003D68A8" w:rsidRPr="008B63BC">
              <w:rPr>
                <w:rFonts w:ascii="Times New Roman" w:hAnsi="Times New Roman" w:cs="Times New Roman"/>
                <w:sz w:val="20"/>
                <w:szCs w:val="20"/>
              </w:rPr>
              <w:t xml:space="preserve"> for small grants increased applications</w:t>
            </w:r>
            <w:r w:rsidRPr="008B63BC">
              <w:rPr>
                <w:rFonts w:ascii="Times New Roman" w:hAnsi="Times New Roman" w:cs="Times New Roman"/>
                <w:sz w:val="20"/>
                <w:szCs w:val="20"/>
              </w:rPr>
              <w:t xml:space="preserve"> </w:t>
            </w:r>
          </w:p>
          <w:p w:rsidR="003D68A8" w:rsidRPr="008B63BC" w:rsidRDefault="002514E2" w:rsidP="003C7BA3">
            <w:pPr>
              <w:ind w:left="317" w:hanging="283"/>
              <w:contextualSpacing/>
              <w:rPr>
                <w:rFonts w:ascii="Times New Roman" w:hAnsi="Times New Roman" w:cs="Times New Roman"/>
                <w:sz w:val="20"/>
                <w:szCs w:val="20"/>
              </w:rPr>
            </w:pPr>
            <w:r>
              <w:rPr>
                <w:rFonts w:ascii="Times New Roman" w:hAnsi="Times New Roman" w:cs="Times New Roman"/>
                <w:b/>
                <w:sz w:val="20"/>
                <w:szCs w:val="20"/>
              </w:rPr>
              <w:t xml:space="preserve">+   </w:t>
            </w:r>
            <w:r w:rsidR="003D68A8" w:rsidRPr="008B63BC">
              <w:rPr>
                <w:rFonts w:ascii="Times New Roman" w:hAnsi="Times New Roman" w:cs="Times New Roman"/>
                <w:sz w:val="20"/>
                <w:szCs w:val="20"/>
              </w:rPr>
              <w:t>Faster decision</w:t>
            </w:r>
            <w:r w:rsidR="00914F6C" w:rsidRPr="008B63BC">
              <w:rPr>
                <w:rFonts w:ascii="Times New Roman" w:hAnsi="Times New Roman" w:cs="Times New Roman"/>
                <w:sz w:val="20"/>
                <w:szCs w:val="20"/>
              </w:rPr>
              <w:t>s</w:t>
            </w:r>
            <w:r w:rsidR="00C912E7" w:rsidRPr="008B63BC">
              <w:rPr>
                <w:rFonts w:ascii="Times New Roman" w:hAnsi="Times New Roman" w:cs="Times New Roman"/>
                <w:sz w:val="20"/>
                <w:szCs w:val="20"/>
              </w:rPr>
              <w:t xml:space="preserve"> &amp; </w:t>
            </w:r>
            <w:r w:rsidR="003D68A8" w:rsidRPr="008B63BC">
              <w:rPr>
                <w:rFonts w:ascii="Times New Roman" w:hAnsi="Times New Roman" w:cs="Times New Roman"/>
                <w:sz w:val="20"/>
                <w:szCs w:val="20"/>
              </w:rPr>
              <w:t xml:space="preserve">feedback </w:t>
            </w:r>
            <w:r w:rsidR="00C912E7" w:rsidRPr="008B63BC">
              <w:rPr>
                <w:rFonts w:ascii="Times New Roman" w:hAnsi="Times New Roman" w:cs="Times New Roman"/>
                <w:sz w:val="20"/>
                <w:szCs w:val="20"/>
              </w:rPr>
              <w:t>aid</w:t>
            </w:r>
            <w:r w:rsidR="00914F6C" w:rsidRPr="008B63BC">
              <w:rPr>
                <w:rFonts w:ascii="Times New Roman" w:hAnsi="Times New Roman" w:cs="Times New Roman"/>
                <w:sz w:val="20"/>
                <w:szCs w:val="20"/>
              </w:rPr>
              <w:t xml:space="preserve">ed </w:t>
            </w:r>
            <w:r w:rsidR="00C912E7" w:rsidRPr="008B63BC">
              <w:rPr>
                <w:rFonts w:ascii="Times New Roman" w:hAnsi="Times New Roman" w:cs="Times New Roman"/>
                <w:sz w:val="20"/>
                <w:szCs w:val="20"/>
              </w:rPr>
              <w:t>(</w:t>
            </w:r>
            <w:r w:rsidR="003D68A8" w:rsidRPr="008B63BC">
              <w:rPr>
                <w:rFonts w:ascii="Times New Roman" w:hAnsi="Times New Roman" w:cs="Times New Roman"/>
                <w:sz w:val="20"/>
                <w:szCs w:val="20"/>
              </w:rPr>
              <w:t>re-</w:t>
            </w:r>
            <w:r w:rsidR="00C912E7" w:rsidRPr="008B63BC">
              <w:rPr>
                <w:rFonts w:ascii="Times New Roman" w:hAnsi="Times New Roman" w:cs="Times New Roman"/>
                <w:sz w:val="20"/>
                <w:szCs w:val="20"/>
              </w:rPr>
              <w:t>)</w:t>
            </w:r>
            <w:r w:rsidR="003D68A8" w:rsidRPr="008B63BC">
              <w:rPr>
                <w:rFonts w:ascii="Times New Roman" w:hAnsi="Times New Roman" w:cs="Times New Roman"/>
                <w:sz w:val="20"/>
                <w:szCs w:val="20"/>
              </w:rPr>
              <w:t>submission</w:t>
            </w:r>
          </w:p>
          <w:p w:rsidR="003D68A8" w:rsidRPr="008B63BC" w:rsidRDefault="003D68A8" w:rsidP="003C7BA3">
            <w:pPr>
              <w:ind w:left="317" w:hanging="283"/>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Local knowledge minimised project failure, deadweight and displacement</w:t>
            </w:r>
            <w:r w:rsidR="00F24910" w:rsidRPr="008B63BC">
              <w:rPr>
                <w:rFonts w:ascii="Times New Roman" w:hAnsi="Times New Roman" w:cs="Times New Roman"/>
                <w:sz w:val="20"/>
                <w:szCs w:val="20"/>
              </w:rPr>
              <w:t xml:space="preserve">, </w:t>
            </w:r>
            <w:r w:rsidRPr="008B63BC">
              <w:rPr>
                <w:rFonts w:ascii="Times New Roman" w:hAnsi="Times New Roman" w:cs="Times New Roman"/>
                <w:sz w:val="20"/>
                <w:szCs w:val="20"/>
              </w:rPr>
              <w:t>increased capacity for collaboration</w:t>
            </w:r>
            <w:r w:rsidR="002514E2">
              <w:rPr>
                <w:rFonts w:ascii="Times New Roman" w:hAnsi="Times New Roman" w:cs="Times New Roman"/>
                <w:sz w:val="20"/>
                <w:szCs w:val="20"/>
              </w:rPr>
              <w:t xml:space="preserve"> &amp;</w:t>
            </w:r>
            <w:r w:rsidRPr="008B63BC">
              <w:rPr>
                <w:rFonts w:ascii="Times New Roman" w:hAnsi="Times New Roman" w:cs="Times New Roman"/>
                <w:sz w:val="20"/>
                <w:szCs w:val="20"/>
              </w:rPr>
              <w:t xml:space="preserve"> ta</w:t>
            </w:r>
            <w:r w:rsidR="00C912E7" w:rsidRPr="008B63BC">
              <w:rPr>
                <w:rFonts w:ascii="Times New Roman" w:hAnsi="Times New Roman" w:cs="Times New Roman"/>
                <w:sz w:val="20"/>
                <w:szCs w:val="20"/>
              </w:rPr>
              <w:t xml:space="preserve">rgeting </w:t>
            </w:r>
          </w:p>
          <w:p w:rsidR="00566E17" w:rsidRPr="008B63BC" w:rsidRDefault="00711658" w:rsidP="003C7BA3">
            <w:pPr>
              <w:ind w:left="317" w:hanging="283"/>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2514E2">
              <w:rPr>
                <w:rFonts w:ascii="Times New Roman" w:hAnsi="Times New Roman" w:cs="Times New Roman"/>
                <w:sz w:val="20"/>
                <w:szCs w:val="20"/>
              </w:rPr>
              <w:t>Strong</w:t>
            </w:r>
            <w:r w:rsidR="003D68A8" w:rsidRPr="008B63BC">
              <w:rPr>
                <w:rFonts w:ascii="Times New Roman" w:hAnsi="Times New Roman" w:cs="Times New Roman"/>
                <w:sz w:val="20"/>
                <w:szCs w:val="20"/>
              </w:rPr>
              <w:t xml:space="preserve"> networking</w:t>
            </w:r>
            <w:r w:rsidR="002514E2">
              <w:rPr>
                <w:rFonts w:ascii="Times New Roman" w:hAnsi="Times New Roman" w:cs="Times New Roman"/>
                <w:sz w:val="20"/>
                <w:szCs w:val="20"/>
              </w:rPr>
              <w:t xml:space="preserve"> among stakeholders</w:t>
            </w:r>
            <w:r w:rsidR="003D68A8" w:rsidRPr="008B63BC">
              <w:rPr>
                <w:rFonts w:ascii="Times New Roman" w:hAnsi="Times New Roman" w:cs="Times New Roman"/>
                <w:sz w:val="20"/>
                <w:szCs w:val="20"/>
              </w:rPr>
              <w:t xml:space="preserve"> </w:t>
            </w:r>
          </w:p>
        </w:tc>
        <w:tc>
          <w:tcPr>
            <w:tcW w:w="5670" w:type="dxa"/>
          </w:tcPr>
          <w:p w:rsidR="002D793F" w:rsidRPr="008B63BC" w:rsidRDefault="003D68A8" w:rsidP="003C7BA3">
            <w:pPr>
              <w:pStyle w:val="PGtext"/>
              <w:ind w:left="317" w:hanging="317"/>
              <w:jc w:val="left"/>
              <w:rPr>
                <w:rFonts w:ascii="Times New Roman" w:hAnsi="Times New Roman" w:cs="Times New Roman"/>
                <w:color w:val="auto"/>
                <w:sz w:val="20"/>
                <w:szCs w:val="20"/>
                <w:lang w:val="en-US"/>
              </w:rPr>
            </w:pPr>
            <w:r w:rsidRPr="008B63BC">
              <w:rPr>
                <w:rFonts w:ascii="Times New Roman" w:hAnsi="Times New Roman" w:cs="Times New Roman"/>
                <w:b/>
                <w:color w:val="auto"/>
                <w:sz w:val="20"/>
                <w:szCs w:val="20"/>
                <w:lang w:val="en-US"/>
              </w:rPr>
              <w:t xml:space="preserve">- </w:t>
            </w:r>
            <w:r w:rsidR="00336D78" w:rsidRPr="008B63BC">
              <w:rPr>
                <w:rFonts w:ascii="Times New Roman" w:hAnsi="Times New Roman" w:cs="Times New Roman"/>
                <w:color w:val="auto"/>
                <w:sz w:val="20"/>
                <w:szCs w:val="20"/>
                <w:lang w:val="en-US"/>
              </w:rPr>
              <w:t xml:space="preserve">   S</w:t>
            </w:r>
            <w:r w:rsidRPr="008B63BC">
              <w:rPr>
                <w:rFonts w:ascii="Times New Roman" w:hAnsi="Times New Roman" w:cs="Times New Roman"/>
                <w:color w:val="auto"/>
                <w:sz w:val="20"/>
                <w:szCs w:val="20"/>
                <w:lang w:val="en-US"/>
              </w:rPr>
              <w:t xml:space="preserve">ome schemes </w:t>
            </w:r>
            <w:r w:rsidR="002514E2">
              <w:rPr>
                <w:rFonts w:ascii="Times New Roman" w:hAnsi="Times New Roman" w:cs="Times New Roman"/>
                <w:color w:val="auto"/>
                <w:sz w:val="20"/>
                <w:szCs w:val="20"/>
                <w:lang w:val="en-US"/>
              </w:rPr>
              <w:t xml:space="preserve">judged </w:t>
            </w:r>
            <w:r w:rsidR="003C5BB3" w:rsidRPr="008B63BC">
              <w:rPr>
                <w:rFonts w:ascii="Times New Roman" w:hAnsi="Times New Roman" w:cs="Times New Roman"/>
                <w:color w:val="auto"/>
                <w:sz w:val="20"/>
                <w:szCs w:val="20"/>
                <w:lang w:val="en-US"/>
              </w:rPr>
              <w:t xml:space="preserve">disproportionally </w:t>
            </w:r>
            <w:r w:rsidRPr="008B63BC">
              <w:rPr>
                <w:rFonts w:ascii="Times New Roman" w:hAnsi="Times New Roman" w:cs="Times New Roman"/>
                <w:color w:val="auto"/>
                <w:sz w:val="20"/>
                <w:szCs w:val="20"/>
                <w:lang w:val="en-US"/>
              </w:rPr>
              <w:t>bureaucratic</w:t>
            </w:r>
            <w:r w:rsidR="002514E2">
              <w:rPr>
                <w:rFonts w:ascii="Times New Roman" w:hAnsi="Times New Roman" w:cs="Times New Roman"/>
                <w:color w:val="auto"/>
                <w:sz w:val="20"/>
                <w:szCs w:val="20"/>
                <w:lang w:val="en-US"/>
              </w:rPr>
              <w:t xml:space="preserve"> by stakeholders</w:t>
            </w:r>
          </w:p>
          <w:p w:rsidR="00914F6C" w:rsidRPr="008B63BC" w:rsidRDefault="003D68A8" w:rsidP="003C7BA3">
            <w:pPr>
              <w:pStyle w:val="PGtext"/>
              <w:ind w:left="317" w:hanging="317"/>
              <w:jc w:val="left"/>
              <w:rPr>
                <w:rFonts w:ascii="Times New Roman" w:hAnsi="Times New Roman" w:cs="Times New Roman"/>
                <w:color w:val="auto"/>
                <w:sz w:val="20"/>
                <w:szCs w:val="20"/>
              </w:rPr>
            </w:pPr>
            <w:r w:rsidRPr="008B63BC">
              <w:rPr>
                <w:rFonts w:ascii="Times New Roman" w:hAnsi="Times New Roman" w:cs="Times New Roman"/>
                <w:b/>
                <w:color w:val="auto"/>
                <w:sz w:val="20"/>
                <w:szCs w:val="20"/>
              </w:rPr>
              <w:t>-</w:t>
            </w:r>
            <w:r w:rsidRPr="008B63BC">
              <w:rPr>
                <w:rFonts w:ascii="Times New Roman" w:hAnsi="Times New Roman" w:cs="Times New Roman"/>
                <w:color w:val="auto"/>
                <w:sz w:val="20"/>
                <w:szCs w:val="20"/>
              </w:rPr>
              <w:t xml:space="preserve">  </w:t>
            </w:r>
            <w:r w:rsidR="00336D78" w:rsidRPr="008B63BC">
              <w:rPr>
                <w:rFonts w:ascii="Times New Roman" w:hAnsi="Times New Roman" w:cs="Times New Roman"/>
                <w:color w:val="auto"/>
                <w:sz w:val="20"/>
                <w:szCs w:val="20"/>
              </w:rPr>
              <w:t xml:space="preserve"> </w:t>
            </w:r>
            <w:r w:rsidRPr="008B63BC">
              <w:rPr>
                <w:rFonts w:ascii="Times New Roman" w:hAnsi="Times New Roman" w:cs="Times New Roman"/>
                <w:color w:val="auto"/>
                <w:sz w:val="20"/>
                <w:szCs w:val="20"/>
              </w:rPr>
              <w:t xml:space="preserve"> </w:t>
            </w:r>
            <w:r w:rsidR="00937520">
              <w:rPr>
                <w:rFonts w:ascii="Times New Roman" w:hAnsi="Times New Roman" w:cs="Times New Roman"/>
                <w:color w:val="auto"/>
                <w:sz w:val="20"/>
                <w:szCs w:val="20"/>
              </w:rPr>
              <w:t>S</w:t>
            </w:r>
            <w:r w:rsidR="002514E2">
              <w:rPr>
                <w:rFonts w:ascii="Times New Roman" w:hAnsi="Times New Roman" w:cs="Times New Roman"/>
                <w:color w:val="auto"/>
                <w:sz w:val="20"/>
                <w:szCs w:val="20"/>
              </w:rPr>
              <w:t xml:space="preserve">ignificant </w:t>
            </w:r>
            <w:r w:rsidR="00914F6C" w:rsidRPr="008B63BC">
              <w:rPr>
                <w:rFonts w:ascii="Times New Roman" w:hAnsi="Times New Roman" w:cs="Times New Roman"/>
                <w:color w:val="auto"/>
                <w:sz w:val="20"/>
                <w:szCs w:val="20"/>
              </w:rPr>
              <w:t xml:space="preserve">delays </w:t>
            </w:r>
            <w:r w:rsidRPr="008B63BC">
              <w:rPr>
                <w:rFonts w:ascii="Times New Roman" w:hAnsi="Times New Roman" w:cs="Times New Roman"/>
                <w:color w:val="auto"/>
                <w:sz w:val="20"/>
                <w:szCs w:val="20"/>
              </w:rPr>
              <w:t>making decisions</w:t>
            </w:r>
            <w:r w:rsidR="002514E2">
              <w:rPr>
                <w:rFonts w:ascii="Times New Roman" w:hAnsi="Times New Roman" w:cs="Times New Roman"/>
                <w:color w:val="auto"/>
                <w:sz w:val="20"/>
                <w:szCs w:val="20"/>
              </w:rPr>
              <w:t xml:space="preserve"> on individual app</w:t>
            </w:r>
            <w:r w:rsidR="006B1A5D">
              <w:rPr>
                <w:rFonts w:ascii="Times New Roman" w:hAnsi="Times New Roman" w:cs="Times New Roman"/>
                <w:color w:val="auto"/>
                <w:sz w:val="20"/>
                <w:szCs w:val="20"/>
              </w:rPr>
              <w:t>lications</w:t>
            </w:r>
            <w:r w:rsidRPr="008B63BC">
              <w:rPr>
                <w:rFonts w:ascii="Times New Roman" w:hAnsi="Times New Roman" w:cs="Times New Roman"/>
                <w:color w:val="auto"/>
                <w:sz w:val="20"/>
                <w:szCs w:val="20"/>
              </w:rPr>
              <w:t xml:space="preserve"> </w:t>
            </w:r>
          </w:p>
          <w:p w:rsidR="003D68A8" w:rsidRPr="008B63BC" w:rsidRDefault="003D68A8" w:rsidP="003C7BA3">
            <w:pPr>
              <w:pStyle w:val="PGtext"/>
              <w:ind w:left="317" w:hanging="317"/>
              <w:jc w:val="left"/>
              <w:rPr>
                <w:rFonts w:ascii="Times New Roman" w:hAnsi="Times New Roman" w:cs="Times New Roman"/>
                <w:sz w:val="20"/>
                <w:szCs w:val="20"/>
              </w:rPr>
            </w:pPr>
            <w:r w:rsidRPr="008B63BC">
              <w:rPr>
                <w:rFonts w:ascii="Times New Roman" w:hAnsi="Times New Roman" w:cs="Times New Roman"/>
                <w:b/>
                <w:color w:val="auto"/>
                <w:sz w:val="20"/>
                <w:szCs w:val="20"/>
              </w:rPr>
              <w:t xml:space="preserve">- </w:t>
            </w:r>
            <w:r w:rsidRPr="008B63BC">
              <w:rPr>
                <w:rFonts w:ascii="Times New Roman" w:hAnsi="Times New Roman" w:cs="Times New Roman"/>
                <w:color w:val="auto"/>
                <w:sz w:val="20"/>
                <w:szCs w:val="20"/>
              </w:rPr>
              <w:t xml:space="preserve">   Lack of advisory support reduced appli</w:t>
            </w:r>
            <w:r w:rsidR="00914F6C" w:rsidRPr="008B63BC">
              <w:rPr>
                <w:rFonts w:ascii="Times New Roman" w:hAnsi="Times New Roman" w:cs="Times New Roman"/>
                <w:color w:val="auto"/>
                <w:sz w:val="20"/>
                <w:szCs w:val="20"/>
              </w:rPr>
              <w:t>cation rates</w:t>
            </w:r>
          </w:p>
          <w:p w:rsidR="003D68A8" w:rsidRPr="008B63BC" w:rsidRDefault="003D68A8" w:rsidP="003C7BA3">
            <w:pPr>
              <w:ind w:left="317" w:hanging="317"/>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Specific application windows for coordinat</w:t>
            </w:r>
            <w:r w:rsidR="00914F6C" w:rsidRPr="008B63BC">
              <w:rPr>
                <w:rFonts w:ascii="Times New Roman" w:hAnsi="Times New Roman" w:cs="Times New Roman"/>
                <w:sz w:val="20"/>
                <w:szCs w:val="20"/>
              </w:rPr>
              <w:t>ed projects with</w:t>
            </w:r>
            <w:r w:rsidRPr="008B63BC">
              <w:rPr>
                <w:rFonts w:ascii="Times New Roman" w:hAnsi="Times New Roman" w:cs="Times New Roman"/>
                <w:sz w:val="20"/>
                <w:szCs w:val="20"/>
              </w:rPr>
              <w:t xml:space="preserve"> multiple agencies limited </w:t>
            </w:r>
            <w:r w:rsidR="002514E2">
              <w:rPr>
                <w:rFonts w:ascii="Times New Roman" w:hAnsi="Times New Roman" w:cs="Times New Roman"/>
                <w:sz w:val="20"/>
                <w:szCs w:val="20"/>
              </w:rPr>
              <w:t xml:space="preserve">the </w:t>
            </w:r>
            <w:r w:rsidRPr="008B63BC">
              <w:rPr>
                <w:rFonts w:ascii="Times New Roman" w:hAnsi="Times New Roman" w:cs="Times New Roman"/>
                <w:sz w:val="20"/>
                <w:szCs w:val="20"/>
              </w:rPr>
              <w:t xml:space="preserve">number of </w:t>
            </w:r>
            <w:r w:rsidR="002514E2">
              <w:rPr>
                <w:rFonts w:ascii="Times New Roman" w:hAnsi="Times New Roman" w:cs="Times New Roman"/>
                <w:sz w:val="20"/>
                <w:szCs w:val="20"/>
              </w:rPr>
              <w:t xml:space="preserve">such </w:t>
            </w:r>
            <w:r w:rsidRPr="008B63BC">
              <w:rPr>
                <w:rFonts w:ascii="Times New Roman" w:hAnsi="Times New Roman" w:cs="Times New Roman"/>
                <w:sz w:val="20"/>
                <w:szCs w:val="20"/>
              </w:rPr>
              <w:t>applications</w:t>
            </w:r>
          </w:p>
          <w:p w:rsidR="003D68A8" w:rsidRPr="008B63BC" w:rsidRDefault="003D68A8" w:rsidP="003C7BA3">
            <w:pPr>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Improved access to small grants</w:t>
            </w:r>
            <w:r w:rsidR="002514E2">
              <w:rPr>
                <w:rFonts w:ascii="Times New Roman" w:hAnsi="Times New Roman" w:cs="Times New Roman"/>
                <w:sz w:val="20"/>
                <w:szCs w:val="20"/>
              </w:rPr>
              <w:t>,</w:t>
            </w:r>
            <w:r w:rsidRPr="008B63BC">
              <w:rPr>
                <w:rFonts w:ascii="Times New Roman" w:hAnsi="Times New Roman" w:cs="Times New Roman"/>
                <w:sz w:val="20"/>
                <w:szCs w:val="20"/>
              </w:rPr>
              <w:t xml:space="preserve"> for some</w:t>
            </w:r>
            <w:r w:rsidR="003C5BB3" w:rsidRPr="008B63BC">
              <w:rPr>
                <w:rFonts w:ascii="Times New Roman" w:hAnsi="Times New Roman" w:cs="Times New Roman"/>
                <w:sz w:val="20"/>
                <w:szCs w:val="20"/>
              </w:rPr>
              <w:t xml:space="preserve"> regions </w:t>
            </w:r>
          </w:p>
        </w:tc>
      </w:tr>
      <w:tr w:rsidR="003D68A8" w:rsidRPr="008B63BC" w:rsidTr="006B1A5D">
        <w:tc>
          <w:tcPr>
            <w:tcW w:w="1986" w:type="dxa"/>
          </w:tcPr>
          <w:p w:rsidR="003D68A8" w:rsidRPr="008B63BC" w:rsidRDefault="003D68A8" w:rsidP="003C7BA3">
            <w:pPr>
              <w:ind w:left="-76"/>
              <w:contextualSpacing/>
              <w:rPr>
                <w:rFonts w:ascii="Times New Roman" w:hAnsi="Times New Roman" w:cs="Times New Roman"/>
                <w:sz w:val="20"/>
                <w:szCs w:val="20"/>
              </w:rPr>
            </w:pPr>
            <w:r w:rsidRPr="008B63BC">
              <w:rPr>
                <w:rFonts w:ascii="Times New Roman" w:hAnsi="Times New Roman" w:cs="Times New Roman"/>
                <w:b/>
                <w:sz w:val="20"/>
                <w:szCs w:val="20"/>
              </w:rPr>
              <w:t>Negotiating contracts</w:t>
            </w:r>
          </w:p>
          <w:p w:rsidR="003D68A8" w:rsidRPr="008B63BC" w:rsidRDefault="003D68A8" w:rsidP="003C7BA3">
            <w:pPr>
              <w:contextualSpacing/>
              <w:rPr>
                <w:rFonts w:ascii="Times New Roman" w:hAnsi="Times New Roman" w:cs="Times New Roman"/>
                <w:sz w:val="20"/>
                <w:szCs w:val="20"/>
              </w:rPr>
            </w:pPr>
          </w:p>
          <w:p w:rsidR="003D68A8" w:rsidRPr="008B63BC" w:rsidRDefault="003D68A8" w:rsidP="003C7BA3">
            <w:pPr>
              <w:contextualSpacing/>
              <w:rPr>
                <w:rFonts w:ascii="Times New Roman" w:hAnsi="Times New Roman" w:cs="Times New Roman"/>
                <w:sz w:val="20"/>
                <w:szCs w:val="20"/>
              </w:rPr>
            </w:pPr>
          </w:p>
        </w:tc>
        <w:tc>
          <w:tcPr>
            <w:tcW w:w="5953" w:type="dxa"/>
          </w:tcPr>
          <w:p w:rsidR="003D68A8" w:rsidRPr="008B63BC" w:rsidRDefault="003D68A8" w:rsidP="003C7BA3">
            <w:pPr>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002001CD">
              <w:rPr>
                <w:rFonts w:ascii="Times New Roman" w:hAnsi="Times New Roman" w:cs="Times New Roman"/>
                <w:sz w:val="20"/>
                <w:szCs w:val="20"/>
              </w:rPr>
              <w:t>R</w:t>
            </w:r>
            <w:r w:rsidR="002514E2">
              <w:rPr>
                <w:rFonts w:ascii="Times New Roman" w:hAnsi="Times New Roman" w:cs="Times New Roman"/>
                <w:sz w:val="20"/>
                <w:szCs w:val="20"/>
              </w:rPr>
              <w:t>egional v</w:t>
            </w:r>
            <w:r w:rsidRPr="008B63BC">
              <w:rPr>
                <w:rFonts w:ascii="Times New Roman" w:hAnsi="Times New Roman" w:cs="Times New Roman"/>
                <w:sz w:val="20"/>
                <w:szCs w:val="20"/>
              </w:rPr>
              <w:t xml:space="preserve">ariability led to stakeholder concerns </w:t>
            </w:r>
            <w:r w:rsidR="00C912E7" w:rsidRPr="008B63BC">
              <w:rPr>
                <w:rFonts w:ascii="Times New Roman" w:hAnsi="Times New Roman" w:cs="Times New Roman"/>
                <w:sz w:val="20"/>
                <w:szCs w:val="20"/>
              </w:rPr>
              <w:t>re</w:t>
            </w:r>
            <w:r w:rsidRPr="008B63BC">
              <w:rPr>
                <w:rFonts w:ascii="Times New Roman" w:hAnsi="Times New Roman" w:cs="Times New Roman"/>
                <w:sz w:val="20"/>
                <w:szCs w:val="20"/>
              </w:rPr>
              <w:t xml:space="preserve"> </w:t>
            </w:r>
            <w:r w:rsidR="00C912E7" w:rsidRPr="008B63BC">
              <w:rPr>
                <w:rFonts w:ascii="Times New Roman" w:hAnsi="Times New Roman" w:cs="Times New Roman"/>
                <w:sz w:val="20"/>
                <w:szCs w:val="20"/>
              </w:rPr>
              <w:t>unequal</w:t>
            </w:r>
            <w:r w:rsidRPr="008B63BC">
              <w:rPr>
                <w:rFonts w:ascii="Times New Roman" w:hAnsi="Times New Roman" w:cs="Times New Roman"/>
                <w:sz w:val="20"/>
                <w:szCs w:val="20"/>
              </w:rPr>
              <w:t xml:space="preserve"> treatment</w:t>
            </w:r>
          </w:p>
          <w:p w:rsidR="003D68A8" w:rsidRPr="008B63BC" w:rsidRDefault="003D68A8" w:rsidP="003C7BA3">
            <w:pPr>
              <w:contextualSpacing/>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 xml:space="preserve">Collaborative schemes </w:t>
            </w:r>
            <w:r w:rsidR="00C912E7" w:rsidRPr="008B63BC">
              <w:rPr>
                <w:rFonts w:ascii="Times New Roman" w:hAnsi="Times New Roman" w:cs="Times New Roman"/>
                <w:sz w:val="20"/>
                <w:szCs w:val="20"/>
              </w:rPr>
              <w:t>require</w:t>
            </w:r>
            <w:r w:rsidR="002514E2">
              <w:rPr>
                <w:rFonts w:ascii="Times New Roman" w:hAnsi="Times New Roman" w:cs="Times New Roman"/>
                <w:sz w:val="20"/>
                <w:szCs w:val="20"/>
              </w:rPr>
              <w:t>d</w:t>
            </w:r>
            <w:r w:rsidR="00C912E7" w:rsidRPr="008B63BC">
              <w:rPr>
                <w:rFonts w:ascii="Times New Roman" w:hAnsi="Times New Roman" w:cs="Times New Roman"/>
                <w:sz w:val="20"/>
                <w:szCs w:val="20"/>
              </w:rPr>
              <w:t xml:space="preserve"> much</w:t>
            </w:r>
            <w:r w:rsidRPr="008B63BC">
              <w:rPr>
                <w:rFonts w:ascii="Times New Roman" w:hAnsi="Times New Roman" w:cs="Times New Roman"/>
                <w:sz w:val="20"/>
                <w:szCs w:val="20"/>
              </w:rPr>
              <w:t xml:space="preserve"> developm</w:t>
            </w:r>
            <w:r w:rsidR="00C912E7" w:rsidRPr="008B63BC">
              <w:rPr>
                <w:rFonts w:ascii="Times New Roman" w:hAnsi="Times New Roman" w:cs="Times New Roman"/>
                <w:sz w:val="20"/>
                <w:szCs w:val="20"/>
              </w:rPr>
              <w:t>ent support</w:t>
            </w:r>
          </w:p>
          <w:p w:rsidR="003D68A8" w:rsidRPr="008B63BC" w:rsidRDefault="003D68A8" w:rsidP="003C7BA3">
            <w:pPr>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2514E2">
              <w:rPr>
                <w:rFonts w:ascii="Times New Roman" w:hAnsi="Times New Roman" w:cs="Times New Roman"/>
                <w:sz w:val="20"/>
                <w:szCs w:val="20"/>
              </w:rPr>
              <w:t>Quick d</w:t>
            </w:r>
            <w:r w:rsidR="00C912E7" w:rsidRPr="008B63BC">
              <w:rPr>
                <w:rFonts w:ascii="Times New Roman" w:hAnsi="Times New Roman" w:cs="Times New Roman"/>
                <w:sz w:val="20"/>
                <w:szCs w:val="20"/>
              </w:rPr>
              <w:t>ecisions</w:t>
            </w:r>
            <w:r w:rsidR="002514E2">
              <w:rPr>
                <w:rFonts w:ascii="Times New Roman" w:hAnsi="Times New Roman" w:cs="Times New Roman"/>
                <w:sz w:val="20"/>
                <w:szCs w:val="20"/>
              </w:rPr>
              <w:t xml:space="preserve"> on applications,</w:t>
            </w:r>
            <w:r w:rsidR="00C912E7" w:rsidRPr="008B63BC">
              <w:rPr>
                <w:rFonts w:ascii="Times New Roman" w:hAnsi="Times New Roman" w:cs="Times New Roman"/>
                <w:sz w:val="20"/>
                <w:szCs w:val="20"/>
              </w:rPr>
              <w:t xml:space="preserve"> e</w:t>
            </w:r>
            <w:r w:rsidR="002D793F" w:rsidRPr="008B63BC">
              <w:rPr>
                <w:rFonts w:ascii="Times New Roman" w:hAnsi="Times New Roman" w:cs="Times New Roman"/>
                <w:sz w:val="20"/>
                <w:szCs w:val="20"/>
              </w:rPr>
              <w:t>asier</w:t>
            </w:r>
            <w:r w:rsidRPr="008B63BC">
              <w:rPr>
                <w:rFonts w:ascii="Times New Roman" w:hAnsi="Times New Roman" w:cs="Times New Roman"/>
                <w:sz w:val="20"/>
                <w:szCs w:val="20"/>
              </w:rPr>
              <w:t xml:space="preserve"> access </w:t>
            </w:r>
            <w:r w:rsidR="002D793F" w:rsidRPr="008B63BC">
              <w:rPr>
                <w:rFonts w:ascii="Times New Roman" w:hAnsi="Times New Roman" w:cs="Times New Roman"/>
                <w:sz w:val="20"/>
                <w:szCs w:val="20"/>
              </w:rPr>
              <w:t xml:space="preserve">to </w:t>
            </w:r>
            <w:r w:rsidRPr="008B63BC">
              <w:rPr>
                <w:rFonts w:ascii="Times New Roman" w:hAnsi="Times New Roman" w:cs="Times New Roman"/>
                <w:sz w:val="20"/>
                <w:szCs w:val="20"/>
              </w:rPr>
              <w:t>decision</w:t>
            </w:r>
            <w:r w:rsidR="002514E2">
              <w:rPr>
                <w:rFonts w:ascii="Times New Roman" w:hAnsi="Times New Roman" w:cs="Times New Roman"/>
                <w:sz w:val="20"/>
                <w:szCs w:val="20"/>
              </w:rPr>
              <w:t>-</w:t>
            </w:r>
            <w:r w:rsidRPr="008B63BC">
              <w:rPr>
                <w:rFonts w:ascii="Times New Roman" w:hAnsi="Times New Roman" w:cs="Times New Roman"/>
                <w:sz w:val="20"/>
                <w:szCs w:val="20"/>
              </w:rPr>
              <w:t>maker</w:t>
            </w:r>
            <w:r w:rsidR="00C912E7" w:rsidRPr="008B63BC">
              <w:rPr>
                <w:rFonts w:ascii="Times New Roman" w:hAnsi="Times New Roman" w:cs="Times New Roman"/>
                <w:sz w:val="20"/>
                <w:szCs w:val="20"/>
              </w:rPr>
              <w:t>s</w:t>
            </w:r>
          </w:p>
          <w:p w:rsidR="003D68A8" w:rsidRPr="008B63BC" w:rsidRDefault="003D68A8" w:rsidP="003C7BA3">
            <w:pPr>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Collaborative schemes generate</w:t>
            </w:r>
            <w:r w:rsidR="002514E2">
              <w:rPr>
                <w:rFonts w:ascii="Times New Roman" w:hAnsi="Times New Roman" w:cs="Times New Roman"/>
                <w:sz w:val="20"/>
                <w:szCs w:val="20"/>
              </w:rPr>
              <w:t>d</w:t>
            </w:r>
            <w:r w:rsidRPr="008B63BC">
              <w:rPr>
                <w:rFonts w:ascii="Times New Roman" w:hAnsi="Times New Roman" w:cs="Times New Roman"/>
                <w:sz w:val="20"/>
                <w:szCs w:val="20"/>
              </w:rPr>
              <w:t xml:space="preserve"> farmer cooperation</w:t>
            </w:r>
          </w:p>
          <w:p w:rsidR="00566E17" w:rsidRPr="008B63BC" w:rsidRDefault="003D68A8" w:rsidP="003C7BA3">
            <w:pPr>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Local knowledge </w:t>
            </w:r>
            <w:r w:rsidR="002514E2">
              <w:rPr>
                <w:rFonts w:ascii="Times New Roman" w:hAnsi="Times New Roman" w:cs="Times New Roman"/>
                <w:sz w:val="20"/>
                <w:szCs w:val="20"/>
              </w:rPr>
              <w:t>enabled</w:t>
            </w:r>
            <w:r w:rsidRPr="008B63BC">
              <w:rPr>
                <w:rFonts w:ascii="Times New Roman" w:hAnsi="Times New Roman" w:cs="Times New Roman"/>
                <w:sz w:val="20"/>
                <w:szCs w:val="20"/>
              </w:rPr>
              <w:t xml:space="preserve"> in</w:t>
            </w:r>
            <w:r w:rsidR="00C912E7" w:rsidRPr="008B63BC">
              <w:rPr>
                <w:rFonts w:ascii="Times New Roman" w:hAnsi="Times New Roman" w:cs="Times New Roman"/>
                <w:sz w:val="20"/>
                <w:szCs w:val="20"/>
              </w:rPr>
              <w:t>novative projects</w:t>
            </w:r>
          </w:p>
        </w:tc>
        <w:tc>
          <w:tcPr>
            <w:tcW w:w="5670" w:type="dxa"/>
          </w:tcPr>
          <w:p w:rsidR="003D68A8" w:rsidRPr="008B63BC" w:rsidRDefault="003D68A8" w:rsidP="003C7BA3">
            <w:pPr>
              <w:ind w:left="317" w:hanging="282"/>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L</w:t>
            </w:r>
            <w:r w:rsidRPr="008B63BC">
              <w:rPr>
                <w:rFonts w:ascii="Times New Roman" w:hAnsi="Times New Roman" w:cs="Times New Roman"/>
                <w:sz w:val="20"/>
                <w:szCs w:val="20"/>
              </w:rPr>
              <w:t xml:space="preserve">ink between advice and grants </w:t>
            </w:r>
            <w:r w:rsidR="002514E2">
              <w:rPr>
                <w:rFonts w:ascii="Times New Roman" w:hAnsi="Times New Roman" w:cs="Times New Roman"/>
                <w:sz w:val="20"/>
                <w:szCs w:val="20"/>
              </w:rPr>
              <w:t>wa</w:t>
            </w:r>
            <w:r w:rsidR="00AF0848" w:rsidRPr="008B63BC">
              <w:rPr>
                <w:rFonts w:ascii="Times New Roman" w:hAnsi="Times New Roman" w:cs="Times New Roman"/>
                <w:sz w:val="20"/>
                <w:szCs w:val="20"/>
              </w:rPr>
              <w:t xml:space="preserve">s </w:t>
            </w:r>
            <w:r w:rsidRPr="008B63BC">
              <w:rPr>
                <w:rFonts w:ascii="Times New Roman" w:hAnsi="Times New Roman" w:cs="Times New Roman"/>
                <w:sz w:val="20"/>
                <w:szCs w:val="20"/>
              </w:rPr>
              <w:t xml:space="preserve">lost  </w:t>
            </w:r>
          </w:p>
          <w:p w:rsidR="003D68A8" w:rsidRPr="008B63BC" w:rsidRDefault="003D68A8" w:rsidP="003C7BA3">
            <w:pPr>
              <w:ind w:left="317" w:hanging="282"/>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Grant</w:t>
            </w:r>
            <w:r w:rsidR="002514E2">
              <w:rPr>
                <w:rFonts w:ascii="Times New Roman" w:hAnsi="Times New Roman" w:cs="Times New Roman"/>
                <w:sz w:val="20"/>
                <w:szCs w:val="20"/>
              </w:rPr>
              <w:t xml:space="preserve"> a</w:t>
            </w:r>
            <w:r w:rsidR="00403138">
              <w:rPr>
                <w:rFonts w:ascii="Times New Roman" w:hAnsi="Times New Roman" w:cs="Times New Roman"/>
                <w:sz w:val="20"/>
                <w:szCs w:val="20"/>
              </w:rPr>
              <w:t>pplication</w:t>
            </w:r>
            <w:r w:rsidR="002514E2">
              <w:rPr>
                <w:rFonts w:ascii="Times New Roman" w:hAnsi="Times New Roman" w:cs="Times New Roman"/>
                <w:sz w:val="20"/>
                <w:szCs w:val="20"/>
              </w:rPr>
              <w:t>s</w:t>
            </w:r>
            <w:r w:rsidRPr="008B63BC">
              <w:rPr>
                <w:rFonts w:ascii="Times New Roman" w:hAnsi="Times New Roman" w:cs="Times New Roman"/>
                <w:sz w:val="20"/>
                <w:szCs w:val="20"/>
              </w:rPr>
              <w:t xml:space="preserve"> reduced to a box-ticking exercise (</w:t>
            </w:r>
            <w:r w:rsidR="00403138">
              <w:rPr>
                <w:rFonts w:ascii="Times New Roman" w:hAnsi="Times New Roman" w:cs="Times New Roman"/>
                <w:sz w:val="20"/>
                <w:szCs w:val="20"/>
              </w:rPr>
              <w:t>no</w:t>
            </w:r>
            <w:r w:rsidRPr="008B63BC">
              <w:rPr>
                <w:rFonts w:ascii="Times New Roman" w:hAnsi="Times New Roman" w:cs="Times New Roman"/>
                <w:sz w:val="20"/>
                <w:szCs w:val="20"/>
              </w:rPr>
              <w:t xml:space="preserve"> understanding of local needs)</w:t>
            </w:r>
          </w:p>
          <w:p w:rsidR="003D68A8" w:rsidRPr="008B63BC" w:rsidRDefault="003D68A8" w:rsidP="003C7BA3">
            <w:pPr>
              <w:ind w:left="317" w:hanging="282"/>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Centralised and more consistent negotiating stance </w:t>
            </w:r>
          </w:p>
          <w:p w:rsidR="003D68A8" w:rsidRPr="008B63BC" w:rsidRDefault="003D68A8" w:rsidP="003C7BA3">
            <w:pPr>
              <w:ind w:left="317" w:hanging="282"/>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Equitable treatment across regions</w:t>
            </w:r>
          </w:p>
        </w:tc>
      </w:tr>
      <w:tr w:rsidR="003D68A8" w:rsidRPr="008B63BC" w:rsidTr="006B1A5D">
        <w:tc>
          <w:tcPr>
            <w:tcW w:w="1986" w:type="dxa"/>
          </w:tcPr>
          <w:p w:rsidR="003D68A8" w:rsidRPr="008B63BC" w:rsidRDefault="003D68A8" w:rsidP="003C7BA3">
            <w:pPr>
              <w:ind w:left="66"/>
              <w:rPr>
                <w:rFonts w:ascii="Times New Roman" w:hAnsi="Times New Roman" w:cs="Times New Roman"/>
                <w:b/>
                <w:sz w:val="20"/>
                <w:szCs w:val="20"/>
              </w:rPr>
            </w:pPr>
            <w:r w:rsidRPr="008B63BC">
              <w:rPr>
                <w:rFonts w:ascii="Times New Roman" w:hAnsi="Times New Roman" w:cs="Times New Roman"/>
                <w:b/>
                <w:sz w:val="20"/>
                <w:szCs w:val="20"/>
              </w:rPr>
              <w:t>Management</w:t>
            </w:r>
          </w:p>
          <w:p w:rsidR="003D68A8" w:rsidRPr="008B63BC" w:rsidRDefault="003D68A8" w:rsidP="003C7BA3">
            <w:pPr>
              <w:ind w:left="66"/>
              <w:rPr>
                <w:rFonts w:ascii="Times New Roman" w:hAnsi="Times New Roman" w:cs="Times New Roman"/>
                <w:b/>
                <w:sz w:val="20"/>
                <w:szCs w:val="20"/>
              </w:rPr>
            </w:pPr>
          </w:p>
          <w:p w:rsidR="003D68A8" w:rsidRPr="008B63BC" w:rsidRDefault="003D68A8" w:rsidP="003C7BA3">
            <w:pPr>
              <w:ind w:left="66"/>
              <w:rPr>
                <w:rFonts w:ascii="Times New Roman" w:hAnsi="Times New Roman" w:cs="Times New Roman"/>
                <w:b/>
                <w:sz w:val="20"/>
                <w:szCs w:val="20"/>
              </w:rPr>
            </w:pPr>
          </w:p>
        </w:tc>
        <w:tc>
          <w:tcPr>
            <w:tcW w:w="5953" w:type="dxa"/>
          </w:tcPr>
          <w:p w:rsidR="003D68A8" w:rsidRPr="008B63BC" w:rsidRDefault="003D68A8" w:rsidP="003C7BA3">
            <w:pPr>
              <w:ind w:left="317" w:hanging="282"/>
              <w:contextualSpacing/>
              <w:rPr>
                <w:rFonts w:ascii="Times New Roman" w:hAnsi="Times New Roman" w:cs="Times New Roman"/>
                <w:sz w:val="20"/>
                <w:szCs w:val="20"/>
              </w:rPr>
            </w:pPr>
            <w:r w:rsidRPr="00FB60F1">
              <w:rPr>
                <w:rFonts w:ascii="Times New Roman" w:hAnsi="Times New Roman"/>
                <w:sz w:val="20"/>
              </w:rPr>
              <w:t xml:space="preserve">- </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S</w:t>
            </w:r>
            <w:r w:rsidR="00C912E7" w:rsidRPr="008B63BC">
              <w:rPr>
                <w:rFonts w:ascii="Times New Roman" w:hAnsi="Times New Roman" w:cs="Times New Roman"/>
                <w:sz w:val="20"/>
                <w:szCs w:val="20"/>
              </w:rPr>
              <w:t>ome delegated s</w:t>
            </w:r>
            <w:r w:rsidRPr="008B63BC">
              <w:rPr>
                <w:rFonts w:ascii="Times New Roman" w:hAnsi="Times New Roman" w:cs="Times New Roman"/>
                <w:sz w:val="20"/>
                <w:szCs w:val="20"/>
              </w:rPr>
              <w:t>mall grant schemes costly to administer</w:t>
            </w:r>
            <w:r w:rsidR="00C912E7" w:rsidRPr="008B63BC">
              <w:rPr>
                <w:rFonts w:ascii="Times New Roman" w:hAnsi="Times New Roman" w:cs="Times New Roman"/>
                <w:sz w:val="20"/>
                <w:szCs w:val="20"/>
              </w:rPr>
              <w:t>, h</w:t>
            </w:r>
            <w:r w:rsidRPr="008B63BC">
              <w:rPr>
                <w:rFonts w:ascii="Times New Roman" w:hAnsi="Times New Roman" w:cs="Times New Roman"/>
                <w:sz w:val="20"/>
                <w:szCs w:val="20"/>
              </w:rPr>
              <w:t xml:space="preserve">igh reliance on administrative support from </w:t>
            </w:r>
            <w:r w:rsidR="00C912E7" w:rsidRPr="008B63BC">
              <w:rPr>
                <w:rFonts w:ascii="Times New Roman" w:hAnsi="Times New Roman" w:cs="Times New Roman"/>
                <w:sz w:val="20"/>
                <w:szCs w:val="20"/>
              </w:rPr>
              <w:t>RDAs</w:t>
            </w:r>
          </w:p>
          <w:p w:rsidR="003D68A8" w:rsidRPr="008B63BC" w:rsidRDefault="003D68A8" w:rsidP="003C7BA3">
            <w:pPr>
              <w:ind w:left="317" w:hanging="282"/>
              <w:contextualSpacing/>
              <w:rPr>
                <w:rFonts w:ascii="Times New Roman" w:hAnsi="Times New Roman" w:cs="Times New Roman"/>
                <w:sz w:val="20"/>
                <w:szCs w:val="20"/>
              </w:rPr>
            </w:pPr>
            <w:r w:rsidRPr="00FB60F1">
              <w:rPr>
                <w:rFonts w:ascii="Times New Roman" w:hAnsi="Times New Roman"/>
                <w:sz w:val="20"/>
              </w:rPr>
              <w:t>-</w:t>
            </w:r>
            <w:r w:rsidRPr="008B63BC">
              <w:rPr>
                <w:rFonts w:ascii="Times New Roman" w:hAnsi="Times New Roman" w:cs="Times New Roman"/>
                <w:sz w:val="20"/>
                <w:szCs w:val="20"/>
              </w:rPr>
              <w:t xml:space="preserve">   Some training organizations found admin costs too</w:t>
            </w:r>
            <w:r w:rsidR="00C912E7" w:rsidRPr="008B63BC">
              <w:rPr>
                <w:rFonts w:ascii="Times New Roman" w:hAnsi="Times New Roman" w:cs="Times New Roman"/>
                <w:sz w:val="20"/>
                <w:szCs w:val="20"/>
              </w:rPr>
              <w:t xml:space="preserve"> high</w:t>
            </w:r>
          </w:p>
          <w:p w:rsidR="003D68A8" w:rsidRPr="008B63BC" w:rsidRDefault="003D68A8" w:rsidP="003C7BA3">
            <w:pPr>
              <w:ind w:left="317" w:right="176" w:hanging="282"/>
              <w:contextualSpacing/>
              <w:rPr>
                <w:rFonts w:ascii="Times New Roman" w:hAnsi="Times New Roman" w:cs="Times New Roman"/>
                <w:sz w:val="20"/>
                <w:szCs w:val="20"/>
              </w:rPr>
            </w:pPr>
            <w:r w:rsidRPr="00FB60F1">
              <w:rPr>
                <w:rFonts w:ascii="Times New Roman" w:hAnsi="Times New Roman"/>
                <w:sz w:val="20"/>
              </w:rPr>
              <w:t xml:space="preserve">- </w:t>
            </w:r>
            <w:r w:rsidRPr="008B63BC">
              <w:rPr>
                <w:rFonts w:ascii="Times New Roman" w:hAnsi="Times New Roman" w:cs="Times New Roman"/>
                <w:sz w:val="20"/>
                <w:szCs w:val="20"/>
              </w:rPr>
              <w:t xml:space="preserve">  Lack of capacity to deliver sub-regional woodland schemes</w:t>
            </w:r>
            <w:r w:rsidR="002514E2">
              <w:rPr>
                <w:rFonts w:ascii="Times New Roman" w:hAnsi="Times New Roman" w:cs="Times New Roman"/>
                <w:sz w:val="20"/>
                <w:szCs w:val="20"/>
              </w:rPr>
              <w:t xml:space="preserve"> due to</w:t>
            </w:r>
            <w:r w:rsidRPr="008B63BC">
              <w:rPr>
                <w:rFonts w:ascii="Times New Roman" w:hAnsi="Times New Roman" w:cs="Times New Roman"/>
                <w:sz w:val="20"/>
                <w:szCs w:val="20"/>
              </w:rPr>
              <w:t xml:space="preserve"> delayed start and limited uptake</w:t>
            </w:r>
          </w:p>
          <w:p w:rsidR="003D68A8" w:rsidRPr="008B63BC" w:rsidRDefault="003D68A8" w:rsidP="003C7BA3">
            <w:pPr>
              <w:ind w:left="317" w:hanging="282"/>
              <w:contextualSpacing/>
              <w:rPr>
                <w:rFonts w:ascii="Times New Roman" w:hAnsi="Times New Roman" w:cs="Times New Roman"/>
                <w:sz w:val="20"/>
                <w:szCs w:val="20"/>
              </w:rPr>
            </w:pPr>
            <w:r w:rsidRPr="00FB60F1">
              <w:rPr>
                <w:rFonts w:ascii="Times New Roman" w:hAnsi="Times New Roman"/>
                <w:sz w:val="20"/>
              </w:rPr>
              <w:t>+</w:t>
            </w:r>
            <w:r w:rsidR="00336D78" w:rsidRPr="008B63BC">
              <w:rPr>
                <w:rFonts w:ascii="Times New Roman" w:hAnsi="Times New Roman" w:cs="Times New Roman"/>
                <w:sz w:val="20"/>
                <w:szCs w:val="20"/>
              </w:rPr>
              <w:t xml:space="preserve">   I</w:t>
            </w:r>
            <w:r w:rsidRPr="008B63BC">
              <w:rPr>
                <w:rFonts w:ascii="Times New Roman" w:hAnsi="Times New Roman" w:cs="Times New Roman"/>
                <w:sz w:val="20"/>
                <w:szCs w:val="20"/>
              </w:rPr>
              <w:t xml:space="preserve">n some </w:t>
            </w:r>
            <w:r w:rsidR="00C912E7" w:rsidRPr="008B63BC">
              <w:rPr>
                <w:rFonts w:ascii="Times New Roman" w:hAnsi="Times New Roman" w:cs="Times New Roman"/>
                <w:sz w:val="20"/>
                <w:szCs w:val="20"/>
              </w:rPr>
              <w:t>region</w:t>
            </w:r>
            <w:r w:rsidRPr="008B63BC">
              <w:rPr>
                <w:rFonts w:ascii="Times New Roman" w:hAnsi="Times New Roman" w:cs="Times New Roman"/>
                <w:sz w:val="20"/>
                <w:szCs w:val="20"/>
              </w:rPr>
              <w:t xml:space="preserve">s grants </w:t>
            </w:r>
            <w:r w:rsidR="002514E2">
              <w:rPr>
                <w:rFonts w:ascii="Times New Roman" w:hAnsi="Times New Roman" w:cs="Times New Roman"/>
                <w:sz w:val="20"/>
                <w:szCs w:val="20"/>
              </w:rPr>
              <w:t xml:space="preserve">were </w:t>
            </w:r>
            <w:r w:rsidRPr="008B63BC">
              <w:rPr>
                <w:rFonts w:ascii="Times New Roman" w:hAnsi="Times New Roman" w:cs="Times New Roman"/>
                <w:sz w:val="20"/>
                <w:szCs w:val="20"/>
              </w:rPr>
              <w:t>linked closely to provision of training and advice</w:t>
            </w:r>
            <w:r w:rsidR="002514E2">
              <w:rPr>
                <w:rFonts w:ascii="Times New Roman" w:hAnsi="Times New Roman" w:cs="Times New Roman"/>
                <w:sz w:val="20"/>
                <w:szCs w:val="20"/>
              </w:rPr>
              <w:t>,</w:t>
            </w:r>
            <w:r w:rsidRPr="008B63BC">
              <w:rPr>
                <w:rFonts w:ascii="Times New Roman" w:hAnsi="Times New Roman" w:cs="Times New Roman"/>
                <w:sz w:val="20"/>
                <w:szCs w:val="20"/>
              </w:rPr>
              <w:t xml:space="preserve"> reducing management costs</w:t>
            </w:r>
          </w:p>
        </w:tc>
        <w:tc>
          <w:tcPr>
            <w:tcW w:w="5670" w:type="dxa"/>
          </w:tcPr>
          <w:p w:rsidR="003D68A8" w:rsidRPr="008B63BC" w:rsidRDefault="003D68A8" w:rsidP="003C7BA3">
            <w:pPr>
              <w:ind w:left="317" w:hanging="317"/>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Longer chain of command</w:t>
            </w:r>
            <w:r w:rsidR="00C912E7" w:rsidRPr="008B63BC">
              <w:rPr>
                <w:rFonts w:ascii="Times New Roman" w:hAnsi="Times New Roman" w:cs="Times New Roman"/>
                <w:sz w:val="20"/>
                <w:szCs w:val="20"/>
              </w:rPr>
              <w:t>,</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harder</w:t>
            </w:r>
            <w:r w:rsidRPr="008B63BC">
              <w:rPr>
                <w:rFonts w:ascii="Times New Roman" w:hAnsi="Times New Roman" w:cs="Times New Roman"/>
                <w:sz w:val="20"/>
                <w:szCs w:val="20"/>
              </w:rPr>
              <w:t xml:space="preserve"> to </w:t>
            </w:r>
            <w:r w:rsidR="00C912E7" w:rsidRPr="008B63BC">
              <w:rPr>
                <w:rFonts w:ascii="Times New Roman" w:hAnsi="Times New Roman" w:cs="Times New Roman"/>
                <w:sz w:val="20"/>
                <w:szCs w:val="20"/>
              </w:rPr>
              <w:t>detect error</w:t>
            </w:r>
            <w:r w:rsidR="00403138">
              <w:rPr>
                <w:rFonts w:ascii="Times New Roman" w:hAnsi="Times New Roman" w:cs="Times New Roman"/>
                <w:sz w:val="20"/>
                <w:szCs w:val="20"/>
              </w:rPr>
              <w:t>s</w:t>
            </w:r>
            <w:r w:rsidRPr="008B63BC">
              <w:rPr>
                <w:rFonts w:ascii="Times New Roman" w:hAnsi="Times New Roman" w:cs="Times New Roman"/>
                <w:sz w:val="20"/>
                <w:szCs w:val="20"/>
              </w:rPr>
              <w:t xml:space="preserve">  </w:t>
            </w:r>
          </w:p>
          <w:p w:rsidR="003D68A8" w:rsidRPr="008B63BC" w:rsidRDefault="003D68A8" w:rsidP="003C7BA3">
            <w:pPr>
              <w:ind w:left="317" w:hanging="317"/>
              <w:contextualSpacing/>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 xml:space="preserve">Reduced accountability for </w:t>
            </w:r>
            <w:r w:rsidR="003C5BB3" w:rsidRPr="008B63BC">
              <w:rPr>
                <w:rFonts w:ascii="Times New Roman" w:hAnsi="Times New Roman" w:cs="Times New Roman"/>
                <w:sz w:val="20"/>
                <w:szCs w:val="20"/>
              </w:rPr>
              <w:t>RDP</w:t>
            </w:r>
            <w:r w:rsidRPr="008B63BC">
              <w:rPr>
                <w:rFonts w:ascii="Times New Roman" w:hAnsi="Times New Roman" w:cs="Times New Roman"/>
                <w:sz w:val="20"/>
                <w:szCs w:val="20"/>
              </w:rPr>
              <w:t xml:space="preserve"> delivery </w:t>
            </w:r>
            <w:r w:rsidR="003C5BB3" w:rsidRPr="008B63BC">
              <w:rPr>
                <w:rFonts w:ascii="Times New Roman" w:hAnsi="Times New Roman" w:cs="Times New Roman"/>
                <w:sz w:val="20"/>
                <w:szCs w:val="20"/>
              </w:rPr>
              <w:t>staff</w:t>
            </w:r>
          </w:p>
          <w:p w:rsidR="00A9164B" w:rsidRDefault="003D68A8" w:rsidP="003C7BA3">
            <w:pPr>
              <w:ind w:left="317" w:hanging="317"/>
              <w:contextualSpacing/>
              <w:rPr>
                <w:rFonts w:ascii="Times New Roman" w:hAnsi="Times New Roman" w:cs="Times New Roman"/>
                <w:sz w:val="20"/>
                <w:szCs w:val="20"/>
              </w:rPr>
            </w:pPr>
            <w:r w:rsidRPr="008B63BC">
              <w:rPr>
                <w:rFonts w:ascii="Times New Roman" w:hAnsi="Times New Roman" w:cs="Times New Roman"/>
                <w:b/>
                <w:sz w:val="20"/>
                <w:szCs w:val="20"/>
              </w:rPr>
              <w:t xml:space="preserve">- </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Higher administrative burde</w:t>
            </w:r>
            <w:r w:rsidR="00C912E7" w:rsidRPr="008B63BC">
              <w:rPr>
                <w:rFonts w:ascii="Times New Roman" w:hAnsi="Times New Roman" w:cs="Times New Roman"/>
                <w:sz w:val="20"/>
                <w:szCs w:val="20"/>
              </w:rPr>
              <w:t xml:space="preserve">n on delivery staff </w:t>
            </w:r>
            <w:r w:rsidR="00403138">
              <w:rPr>
                <w:rFonts w:ascii="Times New Roman" w:hAnsi="Times New Roman" w:cs="Times New Roman"/>
                <w:sz w:val="20"/>
                <w:szCs w:val="20"/>
              </w:rPr>
              <w:t xml:space="preserve">as each managing more and more varied applications </w:t>
            </w:r>
          </w:p>
          <w:p w:rsidR="003D68A8" w:rsidRPr="008B63BC" w:rsidRDefault="003D68A8" w:rsidP="003C7BA3">
            <w:pPr>
              <w:ind w:left="317" w:hanging="317"/>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Farmers</w:t>
            </w:r>
            <w:r w:rsidR="006B1A5D">
              <w:rPr>
                <w:rFonts w:ascii="Times New Roman" w:hAnsi="Times New Roman" w:cs="Times New Roman"/>
                <w:sz w:val="20"/>
                <w:szCs w:val="20"/>
              </w:rPr>
              <w:t xml:space="preserve"> could</w:t>
            </w:r>
            <w:r w:rsidRPr="008B63BC">
              <w:rPr>
                <w:rFonts w:ascii="Times New Roman" w:hAnsi="Times New Roman" w:cs="Times New Roman"/>
                <w:sz w:val="20"/>
                <w:szCs w:val="20"/>
              </w:rPr>
              <w:t xml:space="preserve"> access larger grants under one </w:t>
            </w:r>
            <w:r w:rsidR="00403138">
              <w:rPr>
                <w:rFonts w:ascii="Times New Roman" w:hAnsi="Times New Roman" w:cs="Times New Roman"/>
                <w:sz w:val="20"/>
                <w:szCs w:val="20"/>
              </w:rPr>
              <w:t xml:space="preserve">national </w:t>
            </w:r>
            <w:r w:rsidRPr="008B63BC">
              <w:rPr>
                <w:rFonts w:ascii="Times New Roman" w:hAnsi="Times New Roman" w:cs="Times New Roman"/>
                <w:sz w:val="20"/>
                <w:szCs w:val="20"/>
              </w:rPr>
              <w:t>scheme</w:t>
            </w:r>
          </w:p>
          <w:p w:rsidR="003D68A8" w:rsidRPr="008B63BC" w:rsidRDefault="003D68A8" w:rsidP="003C7BA3">
            <w:pPr>
              <w:ind w:left="317" w:hanging="317"/>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Consistency of grant </w:t>
            </w:r>
            <w:r w:rsidR="00403138">
              <w:rPr>
                <w:rFonts w:ascii="Times New Roman" w:hAnsi="Times New Roman" w:cs="Times New Roman"/>
                <w:sz w:val="20"/>
                <w:szCs w:val="20"/>
              </w:rPr>
              <w:t xml:space="preserve">availability </w:t>
            </w:r>
            <w:r w:rsidRPr="008B63BC">
              <w:rPr>
                <w:rFonts w:ascii="Times New Roman" w:hAnsi="Times New Roman" w:cs="Times New Roman"/>
                <w:sz w:val="20"/>
                <w:szCs w:val="20"/>
              </w:rPr>
              <w:t>across the country</w:t>
            </w:r>
          </w:p>
          <w:p w:rsidR="003D68A8" w:rsidRPr="008B63BC" w:rsidRDefault="003D68A8" w:rsidP="003C7BA3">
            <w:pPr>
              <w:ind w:left="317" w:hanging="317"/>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Reduced </w:t>
            </w:r>
            <w:r w:rsidR="00C912E7" w:rsidRPr="008B63BC">
              <w:rPr>
                <w:rFonts w:ascii="Times New Roman" w:hAnsi="Times New Roman" w:cs="Times New Roman"/>
                <w:sz w:val="20"/>
                <w:szCs w:val="20"/>
              </w:rPr>
              <w:t xml:space="preserve">total </w:t>
            </w:r>
            <w:r w:rsidRPr="008B63BC">
              <w:rPr>
                <w:rFonts w:ascii="Times New Roman" w:hAnsi="Times New Roman" w:cs="Times New Roman"/>
                <w:sz w:val="20"/>
                <w:szCs w:val="20"/>
              </w:rPr>
              <w:t>administration (</w:t>
            </w:r>
            <w:r w:rsidR="00403138">
              <w:rPr>
                <w:rFonts w:ascii="Times New Roman" w:hAnsi="Times New Roman" w:cs="Times New Roman"/>
                <w:sz w:val="20"/>
                <w:szCs w:val="20"/>
              </w:rPr>
              <w:t xml:space="preserve">from </w:t>
            </w:r>
            <w:r w:rsidRPr="008B63BC">
              <w:rPr>
                <w:rFonts w:ascii="Times New Roman" w:hAnsi="Times New Roman" w:cs="Times New Roman"/>
                <w:sz w:val="20"/>
                <w:szCs w:val="20"/>
              </w:rPr>
              <w:t xml:space="preserve">8 </w:t>
            </w:r>
            <w:r w:rsidR="00C912E7" w:rsidRPr="008B63BC">
              <w:rPr>
                <w:rFonts w:ascii="Times New Roman" w:hAnsi="Times New Roman" w:cs="Times New Roman"/>
                <w:sz w:val="20"/>
                <w:szCs w:val="20"/>
              </w:rPr>
              <w:t>teams to one</w:t>
            </w:r>
            <w:r w:rsidRPr="008B63BC">
              <w:rPr>
                <w:rFonts w:ascii="Times New Roman" w:hAnsi="Times New Roman" w:cs="Times New Roman"/>
                <w:sz w:val="20"/>
                <w:szCs w:val="20"/>
              </w:rPr>
              <w:t>)</w:t>
            </w:r>
          </w:p>
        </w:tc>
      </w:tr>
      <w:tr w:rsidR="003D68A8" w:rsidRPr="008B63BC" w:rsidTr="006B1A5D">
        <w:tc>
          <w:tcPr>
            <w:tcW w:w="1986" w:type="dxa"/>
          </w:tcPr>
          <w:p w:rsidR="003D68A8" w:rsidRPr="008B63BC" w:rsidRDefault="003D68A8" w:rsidP="003C7BA3">
            <w:pPr>
              <w:ind w:left="66"/>
              <w:rPr>
                <w:rFonts w:ascii="Times New Roman" w:hAnsi="Times New Roman" w:cs="Times New Roman"/>
                <w:b/>
                <w:sz w:val="20"/>
                <w:szCs w:val="20"/>
              </w:rPr>
            </w:pPr>
            <w:r w:rsidRPr="008B63BC">
              <w:rPr>
                <w:rFonts w:ascii="Times New Roman" w:hAnsi="Times New Roman" w:cs="Times New Roman"/>
                <w:b/>
                <w:sz w:val="20"/>
                <w:szCs w:val="20"/>
              </w:rPr>
              <w:t>Monitoring &amp; evaluation</w:t>
            </w:r>
          </w:p>
          <w:p w:rsidR="003D68A8" w:rsidRPr="008B63BC" w:rsidRDefault="003D68A8" w:rsidP="003C7BA3">
            <w:pPr>
              <w:ind w:left="66"/>
              <w:rPr>
                <w:rFonts w:ascii="Times New Roman" w:hAnsi="Times New Roman" w:cs="Times New Roman"/>
                <w:b/>
                <w:sz w:val="20"/>
                <w:szCs w:val="20"/>
              </w:rPr>
            </w:pPr>
          </w:p>
        </w:tc>
        <w:tc>
          <w:tcPr>
            <w:tcW w:w="5953" w:type="dxa"/>
          </w:tcPr>
          <w:p w:rsidR="003D68A8" w:rsidRPr="008B63BC" w:rsidRDefault="005A6CCF" w:rsidP="003C7BA3">
            <w:pPr>
              <w:ind w:left="317" w:hanging="283"/>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More</w:t>
            </w:r>
            <w:r w:rsidR="003D68A8" w:rsidRPr="008B63BC">
              <w:rPr>
                <w:rFonts w:ascii="Times New Roman" w:hAnsi="Times New Roman" w:cs="Times New Roman"/>
                <w:sz w:val="20"/>
                <w:szCs w:val="20"/>
              </w:rPr>
              <w:t xml:space="preserve"> paperwork for EU monitoring</w:t>
            </w:r>
            <w:r w:rsidR="00C912E7" w:rsidRPr="008B63BC">
              <w:rPr>
                <w:rFonts w:ascii="Times New Roman" w:hAnsi="Times New Roman" w:cs="Times New Roman"/>
                <w:sz w:val="20"/>
                <w:szCs w:val="20"/>
              </w:rPr>
              <w:t>, limited evaluation</w:t>
            </w:r>
          </w:p>
          <w:p w:rsidR="00336D78" w:rsidRPr="008B63BC" w:rsidRDefault="003D68A8" w:rsidP="00FB60F1">
            <w:pPr>
              <w:ind w:left="317" w:hanging="283"/>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For micro-enterprise</w:t>
            </w:r>
            <w:r w:rsidR="00336D78" w:rsidRPr="008B63BC">
              <w:rPr>
                <w:rFonts w:ascii="Times New Roman" w:hAnsi="Times New Roman" w:cs="Times New Roman"/>
                <w:sz w:val="20"/>
                <w:szCs w:val="20"/>
              </w:rPr>
              <w:t>s</w:t>
            </w:r>
            <w:r w:rsidR="00403138">
              <w:rPr>
                <w:rFonts w:ascii="Times New Roman" w:hAnsi="Times New Roman" w:cs="Times New Roman"/>
                <w:sz w:val="20"/>
                <w:szCs w:val="20"/>
              </w:rPr>
              <w:t>,</w:t>
            </w:r>
            <w:r w:rsidR="00336D78" w:rsidRPr="008B63BC">
              <w:rPr>
                <w:rFonts w:ascii="Times New Roman" w:hAnsi="Times New Roman" w:cs="Times New Roman"/>
                <w:sz w:val="20"/>
                <w:szCs w:val="20"/>
              </w:rPr>
              <w:t xml:space="preserve"> the process provide</w:t>
            </w:r>
            <w:r w:rsidR="00403138">
              <w:rPr>
                <w:rFonts w:ascii="Times New Roman" w:hAnsi="Times New Roman" w:cs="Times New Roman"/>
                <w:sz w:val="20"/>
                <w:szCs w:val="20"/>
              </w:rPr>
              <w:t>d</w:t>
            </w:r>
            <w:r w:rsidR="00336D78" w:rsidRPr="008B63BC">
              <w:rPr>
                <w:rFonts w:ascii="Times New Roman" w:hAnsi="Times New Roman" w:cs="Times New Roman"/>
                <w:sz w:val="20"/>
                <w:szCs w:val="20"/>
              </w:rPr>
              <w:t xml:space="preserve"> deeper</w:t>
            </w:r>
          </w:p>
          <w:p w:rsidR="003D68A8" w:rsidRPr="008B63BC" w:rsidRDefault="00336D78" w:rsidP="00FB60F1">
            <w:pPr>
              <w:ind w:left="317" w:hanging="283"/>
              <w:contextualSpacing/>
              <w:rPr>
                <w:rFonts w:ascii="Times New Roman" w:hAnsi="Times New Roman" w:cs="Times New Roman"/>
                <w:sz w:val="20"/>
                <w:szCs w:val="20"/>
              </w:rPr>
            </w:pPr>
            <w:r w:rsidRPr="008B63BC">
              <w:rPr>
                <w:rFonts w:ascii="Times New Roman" w:hAnsi="Times New Roman" w:cs="Times New Roman"/>
                <w:sz w:val="20"/>
                <w:szCs w:val="20"/>
              </w:rPr>
              <w:t xml:space="preserve">     </w:t>
            </w:r>
            <w:r w:rsidR="003D68A8" w:rsidRPr="008B63BC">
              <w:rPr>
                <w:rFonts w:ascii="Times New Roman" w:hAnsi="Times New Roman" w:cs="Times New Roman"/>
                <w:sz w:val="20"/>
                <w:szCs w:val="20"/>
              </w:rPr>
              <w:t>understanding of their business</w:t>
            </w:r>
          </w:p>
        </w:tc>
        <w:tc>
          <w:tcPr>
            <w:tcW w:w="5670" w:type="dxa"/>
          </w:tcPr>
          <w:p w:rsidR="003D68A8" w:rsidRPr="008B63BC" w:rsidRDefault="003D68A8" w:rsidP="003C7BA3">
            <w:pPr>
              <w:ind w:left="317" w:hanging="283"/>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403138">
              <w:rPr>
                <w:rFonts w:ascii="Times New Roman" w:hAnsi="Times New Roman" w:cs="Times New Roman"/>
                <w:sz w:val="20"/>
                <w:szCs w:val="20"/>
              </w:rPr>
              <w:t>L</w:t>
            </w:r>
            <w:r w:rsidRPr="008B63BC">
              <w:rPr>
                <w:rFonts w:ascii="Times New Roman" w:hAnsi="Times New Roman" w:cs="Times New Roman"/>
                <w:sz w:val="20"/>
                <w:szCs w:val="20"/>
              </w:rPr>
              <w:t>arge numbers of</w:t>
            </w:r>
            <w:r w:rsidR="00403138">
              <w:rPr>
                <w:rFonts w:ascii="Times New Roman" w:hAnsi="Times New Roman" w:cs="Times New Roman"/>
                <w:sz w:val="20"/>
                <w:szCs w:val="20"/>
              </w:rPr>
              <w:t xml:space="preserve"> small</w:t>
            </w:r>
            <w:r w:rsidRPr="008B63BC">
              <w:rPr>
                <w:rFonts w:ascii="Times New Roman" w:hAnsi="Times New Roman" w:cs="Times New Roman"/>
                <w:sz w:val="20"/>
                <w:szCs w:val="20"/>
              </w:rPr>
              <w:t xml:space="preserve"> beneficiaries </w:t>
            </w:r>
            <w:r w:rsidR="003C7BA3">
              <w:rPr>
                <w:rFonts w:ascii="Times New Roman" w:hAnsi="Times New Roman" w:cs="Times New Roman"/>
                <w:sz w:val="20"/>
                <w:szCs w:val="20"/>
              </w:rPr>
              <w:t>cost more to</w:t>
            </w:r>
            <w:r w:rsidR="00C912E7" w:rsidRPr="008B63BC">
              <w:rPr>
                <w:rFonts w:ascii="Times New Roman" w:hAnsi="Times New Roman" w:cs="Times New Roman"/>
                <w:sz w:val="20"/>
                <w:szCs w:val="20"/>
              </w:rPr>
              <w:t xml:space="preserve"> monitor</w:t>
            </w:r>
          </w:p>
          <w:p w:rsidR="003D68A8" w:rsidRPr="008B63BC" w:rsidRDefault="003D68A8" w:rsidP="003C7BA3">
            <w:pPr>
              <w:ind w:left="317" w:hanging="283"/>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Moni</w:t>
            </w:r>
            <w:r w:rsidR="00C912E7" w:rsidRPr="008B63BC">
              <w:rPr>
                <w:rFonts w:ascii="Times New Roman" w:hAnsi="Times New Roman" w:cs="Times New Roman"/>
                <w:sz w:val="20"/>
                <w:szCs w:val="20"/>
              </w:rPr>
              <w:t xml:space="preserve">toring </w:t>
            </w:r>
            <w:r w:rsidR="00403138">
              <w:rPr>
                <w:rFonts w:ascii="Times New Roman" w:hAnsi="Times New Roman" w:cs="Times New Roman"/>
                <w:sz w:val="20"/>
                <w:szCs w:val="20"/>
              </w:rPr>
              <w:t xml:space="preserve">approach </w:t>
            </w:r>
            <w:r w:rsidR="006B1A5D">
              <w:rPr>
                <w:rFonts w:ascii="Times New Roman" w:hAnsi="Times New Roman" w:cs="Times New Roman"/>
                <w:sz w:val="20"/>
                <w:szCs w:val="20"/>
              </w:rPr>
              <w:t>wa</w:t>
            </w:r>
            <w:r w:rsidR="00C912E7" w:rsidRPr="008B63BC">
              <w:rPr>
                <w:rFonts w:ascii="Times New Roman" w:hAnsi="Times New Roman" w:cs="Times New Roman"/>
                <w:sz w:val="20"/>
                <w:szCs w:val="20"/>
              </w:rPr>
              <w:t xml:space="preserve">s consistent across </w:t>
            </w:r>
            <w:r w:rsidRPr="008B63BC">
              <w:rPr>
                <w:rFonts w:ascii="Times New Roman" w:hAnsi="Times New Roman" w:cs="Times New Roman"/>
                <w:sz w:val="20"/>
                <w:szCs w:val="20"/>
              </w:rPr>
              <w:t>regions</w:t>
            </w:r>
          </w:p>
        </w:tc>
      </w:tr>
      <w:tr w:rsidR="003D68A8" w:rsidRPr="008B63BC" w:rsidTr="006B1A5D">
        <w:tc>
          <w:tcPr>
            <w:tcW w:w="1986" w:type="dxa"/>
          </w:tcPr>
          <w:p w:rsidR="003D68A8" w:rsidRPr="008B63BC" w:rsidRDefault="003D68A8" w:rsidP="003C7BA3">
            <w:pPr>
              <w:ind w:left="66"/>
              <w:rPr>
                <w:rFonts w:ascii="Times New Roman" w:hAnsi="Times New Roman" w:cs="Times New Roman"/>
                <w:b/>
                <w:sz w:val="20"/>
                <w:szCs w:val="20"/>
              </w:rPr>
            </w:pPr>
            <w:r w:rsidRPr="008B63BC">
              <w:rPr>
                <w:rFonts w:ascii="Times New Roman" w:hAnsi="Times New Roman" w:cs="Times New Roman"/>
                <w:b/>
                <w:sz w:val="20"/>
                <w:szCs w:val="20"/>
              </w:rPr>
              <w:t>Compliance</w:t>
            </w:r>
          </w:p>
          <w:p w:rsidR="003D68A8" w:rsidRPr="008B63BC" w:rsidRDefault="003D68A8" w:rsidP="003C7BA3">
            <w:pPr>
              <w:ind w:left="66"/>
              <w:rPr>
                <w:rFonts w:ascii="Times New Roman" w:hAnsi="Times New Roman" w:cs="Times New Roman"/>
                <w:b/>
                <w:sz w:val="20"/>
                <w:szCs w:val="20"/>
              </w:rPr>
            </w:pPr>
          </w:p>
          <w:p w:rsidR="003D68A8" w:rsidRPr="008B63BC" w:rsidRDefault="003D68A8" w:rsidP="003C7BA3">
            <w:pPr>
              <w:ind w:left="66"/>
              <w:rPr>
                <w:rFonts w:ascii="Times New Roman" w:hAnsi="Times New Roman" w:cs="Times New Roman"/>
                <w:sz w:val="20"/>
                <w:szCs w:val="20"/>
              </w:rPr>
            </w:pPr>
          </w:p>
        </w:tc>
        <w:tc>
          <w:tcPr>
            <w:tcW w:w="5953" w:type="dxa"/>
          </w:tcPr>
          <w:p w:rsidR="003D68A8" w:rsidRPr="008B63BC" w:rsidRDefault="003D68A8" w:rsidP="003C7BA3">
            <w:pPr>
              <w:ind w:left="317" w:hanging="326"/>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sidR="00336D78" w:rsidRPr="008B63BC">
              <w:rPr>
                <w:rFonts w:ascii="Times New Roman" w:hAnsi="Times New Roman" w:cs="Times New Roman"/>
                <w:sz w:val="20"/>
                <w:szCs w:val="20"/>
              </w:rPr>
              <w:t xml:space="preserve"> </w:t>
            </w:r>
            <w:r w:rsidRPr="008B63BC">
              <w:rPr>
                <w:rFonts w:ascii="Times New Roman" w:hAnsi="Times New Roman" w:cs="Times New Roman"/>
                <w:sz w:val="20"/>
                <w:szCs w:val="20"/>
              </w:rPr>
              <w:t xml:space="preserve">Small </w:t>
            </w:r>
            <w:r w:rsidR="00914F6C" w:rsidRPr="008B63BC">
              <w:rPr>
                <w:rFonts w:ascii="Times New Roman" w:hAnsi="Times New Roman" w:cs="Times New Roman"/>
                <w:sz w:val="20"/>
                <w:szCs w:val="20"/>
              </w:rPr>
              <w:t xml:space="preserve">organizations found </w:t>
            </w:r>
            <w:r w:rsidR="002A3A7C" w:rsidRPr="008B63BC">
              <w:rPr>
                <w:rFonts w:ascii="Times New Roman" w:hAnsi="Times New Roman" w:cs="Times New Roman"/>
                <w:sz w:val="20"/>
                <w:szCs w:val="20"/>
              </w:rPr>
              <w:t>procurement &amp;</w:t>
            </w:r>
            <w:r w:rsidRPr="008B63BC">
              <w:rPr>
                <w:rFonts w:ascii="Times New Roman" w:hAnsi="Times New Roman" w:cs="Times New Roman"/>
                <w:sz w:val="20"/>
                <w:szCs w:val="20"/>
              </w:rPr>
              <w:t xml:space="preserve"> claims proce</w:t>
            </w:r>
            <w:r w:rsidR="00C912E7" w:rsidRPr="008B63BC">
              <w:rPr>
                <w:rFonts w:ascii="Times New Roman" w:hAnsi="Times New Roman" w:cs="Times New Roman"/>
                <w:sz w:val="20"/>
                <w:szCs w:val="20"/>
              </w:rPr>
              <w:t>s</w:t>
            </w:r>
            <w:r w:rsidRPr="008B63BC">
              <w:rPr>
                <w:rFonts w:ascii="Times New Roman" w:hAnsi="Times New Roman" w:cs="Times New Roman"/>
                <w:sz w:val="20"/>
                <w:szCs w:val="20"/>
              </w:rPr>
              <w:t xml:space="preserve">s financially </w:t>
            </w:r>
            <w:r w:rsidR="00914F6C" w:rsidRPr="008B63BC">
              <w:rPr>
                <w:rFonts w:ascii="Times New Roman" w:hAnsi="Times New Roman" w:cs="Times New Roman"/>
                <w:sz w:val="20"/>
                <w:szCs w:val="20"/>
              </w:rPr>
              <w:t>dem</w:t>
            </w:r>
            <w:r w:rsidR="00C912E7" w:rsidRPr="008B63BC">
              <w:rPr>
                <w:rFonts w:ascii="Times New Roman" w:hAnsi="Times New Roman" w:cs="Times New Roman"/>
                <w:sz w:val="20"/>
                <w:szCs w:val="20"/>
              </w:rPr>
              <w:t>anding</w:t>
            </w:r>
            <w:r w:rsidR="00403138">
              <w:rPr>
                <w:rFonts w:ascii="Times New Roman" w:hAnsi="Times New Roman" w:cs="Times New Roman"/>
                <w:sz w:val="20"/>
                <w:szCs w:val="20"/>
              </w:rPr>
              <w:t xml:space="preserve"> and a</w:t>
            </w:r>
            <w:r w:rsidRPr="008B63BC">
              <w:rPr>
                <w:rFonts w:ascii="Times New Roman" w:hAnsi="Times New Roman" w:cs="Times New Roman"/>
                <w:sz w:val="20"/>
                <w:szCs w:val="20"/>
              </w:rPr>
              <w:t xml:space="preserve"> barrier to </w:t>
            </w:r>
            <w:r w:rsidR="00914F6C" w:rsidRPr="008B63BC">
              <w:rPr>
                <w:rFonts w:ascii="Times New Roman" w:hAnsi="Times New Roman" w:cs="Times New Roman"/>
                <w:sz w:val="20"/>
                <w:szCs w:val="20"/>
              </w:rPr>
              <w:t xml:space="preserve">further </w:t>
            </w:r>
            <w:r w:rsidRPr="008B63BC">
              <w:rPr>
                <w:rFonts w:ascii="Times New Roman" w:hAnsi="Times New Roman" w:cs="Times New Roman"/>
                <w:sz w:val="20"/>
                <w:szCs w:val="20"/>
              </w:rPr>
              <w:t xml:space="preserve">engagement  </w:t>
            </w:r>
          </w:p>
          <w:p w:rsidR="003D68A8" w:rsidRPr="008B63BC" w:rsidRDefault="003D68A8" w:rsidP="003C7BA3">
            <w:pPr>
              <w:ind w:left="317" w:hanging="326"/>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High level</w:t>
            </w:r>
            <w:r w:rsidR="00403138">
              <w:rPr>
                <w:rFonts w:ascii="Times New Roman" w:hAnsi="Times New Roman" w:cs="Times New Roman"/>
                <w:sz w:val="20"/>
                <w:szCs w:val="20"/>
              </w:rPr>
              <w:t>s</w:t>
            </w:r>
            <w:r w:rsidRPr="008B63BC">
              <w:rPr>
                <w:rFonts w:ascii="Times New Roman" w:hAnsi="Times New Roman" w:cs="Times New Roman"/>
                <w:sz w:val="20"/>
                <w:szCs w:val="20"/>
              </w:rPr>
              <w:t xml:space="preserve"> of compliance resulted in low enforcement costs</w:t>
            </w:r>
          </w:p>
        </w:tc>
        <w:tc>
          <w:tcPr>
            <w:tcW w:w="5670" w:type="dxa"/>
          </w:tcPr>
          <w:p w:rsidR="009B26E6" w:rsidRPr="009B26E6" w:rsidRDefault="009B26E6" w:rsidP="003C7BA3">
            <w:pPr>
              <w:ind w:left="317" w:hanging="283"/>
              <w:contextualSpacing/>
              <w:rPr>
                <w:rFonts w:ascii="Times New Roman" w:hAnsi="Times New Roman" w:cs="Times New Roman"/>
                <w:b/>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Pr>
                <w:rFonts w:ascii="Times New Roman" w:hAnsi="Times New Roman" w:cs="Times New Roman"/>
                <w:sz w:val="20"/>
                <w:szCs w:val="20"/>
              </w:rPr>
              <w:t>Small</w:t>
            </w:r>
            <w:r w:rsidRPr="008B63BC">
              <w:rPr>
                <w:rFonts w:ascii="Times New Roman" w:hAnsi="Times New Roman" w:cs="Times New Roman"/>
                <w:sz w:val="20"/>
                <w:szCs w:val="20"/>
              </w:rPr>
              <w:t xml:space="preserve"> </w:t>
            </w:r>
            <w:r w:rsidR="006B1A5D">
              <w:rPr>
                <w:rFonts w:ascii="Times New Roman" w:hAnsi="Times New Roman" w:cs="Times New Roman"/>
                <w:sz w:val="20"/>
                <w:szCs w:val="20"/>
              </w:rPr>
              <w:t>beneficiaries fou</w:t>
            </w:r>
            <w:r>
              <w:rPr>
                <w:rFonts w:ascii="Times New Roman" w:hAnsi="Times New Roman" w:cs="Times New Roman"/>
                <w:sz w:val="20"/>
                <w:szCs w:val="20"/>
              </w:rPr>
              <w:t>nd it more difficult to access information</w:t>
            </w:r>
          </w:p>
          <w:p w:rsidR="003D68A8" w:rsidRPr="008B63BC" w:rsidRDefault="009B26E6" w:rsidP="003C7BA3">
            <w:pPr>
              <w:ind w:left="318" w:hanging="284"/>
              <w:contextualSpacing/>
              <w:rPr>
                <w:rFonts w:ascii="Times New Roman" w:hAnsi="Times New Roman" w:cs="Times New Roman"/>
                <w:sz w:val="20"/>
                <w:szCs w:val="20"/>
              </w:rPr>
            </w:pPr>
            <w:r w:rsidRPr="008B63BC">
              <w:rPr>
                <w:rFonts w:ascii="Times New Roman" w:hAnsi="Times New Roman" w:cs="Times New Roman"/>
                <w:b/>
                <w:sz w:val="20"/>
                <w:szCs w:val="20"/>
              </w:rPr>
              <w:t>+</w:t>
            </w:r>
            <w:r w:rsidRPr="008B63BC">
              <w:rPr>
                <w:rFonts w:ascii="Times New Roman" w:hAnsi="Times New Roman" w:cs="Times New Roman"/>
                <w:sz w:val="20"/>
                <w:szCs w:val="20"/>
              </w:rPr>
              <w:t xml:space="preserve"> </w:t>
            </w:r>
            <w:r>
              <w:rPr>
                <w:rFonts w:ascii="Times New Roman" w:hAnsi="Times New Roman" w:cs="Times New Roman"/>
                <w:sz w:val="20"/>
                <w:szCs w:val="20"/>
              </w:rPr>
              <w:t xml:space="preserve">  Reduction in duplication of activity</w:t>
            </w:r>
          </w:p>
        </w:tc>
      </w:tr>
    </w:tbl>
    <w:p w:rsidR="00254B8E" w:rsidRDefault="00254B8E" w:rsidP="008D745F">
      <w:pPr>
        <w:spacing w:after="0" w:line="360" w:lineRule="auto"/>
        <w:jc w:val="both"/>
        <w:rPr>
          <w:rFonts w:ascii="Times New Roman" w:hAnsi="Times New Roman" w:cs="Times New Roman"/>
          <w:sz w:val="24"/>
          <w:szCs w:val="24"/>
        </w:rPr>
        <w:sectPr w:rsidR="00254B8E" w:rsidSect="008D0747">
          <w:pgSz w:w="15840" w:h="12240" w:orient="landscape"/>
          <w:pgMar w:top="1440" w:right="1440" w:bottom="1440" w:left="1440" w:header="708" w:footer="708" w:gutter="0"/>
          <w:cols w:space="708"/>
          <w:docGrid w:linePitch="360"/>
        </w:sectPr>
      </w:pPr>
    </w:p>
    <w:p w:rsidR="00D12BCA" w:rsidRPr="00D12BCA" w:rsidRDefault="00A572ED" w:rsidP="00D12BCA">
      <w:pPr>
        <w:spacing w:after="0" w:line="360" w:lineRule="auto"/>
        <w:ind w:left="58"/>
        <w:jc w:val="both"/>
        <w:rPr>
          <w:rFonts w:ascii="Times New Roman" w:hAnsi="Times New Roman" w:cs="Times New Roman"/>
          <w:sz w:val="24"/>
          <w:szCs w:val="24"/>
        </w:rPr>
      </w:pPr>
      <w:r>
        <w:rPr>
          <w:rFonts w:ascii="Times New Roman" w:hAnsi="Times New Roman" w:cs="Times New Roman"/>
          <w:sz w:val="24"/>
          <w:szCs w:val="24"/>
        </w:rPr>
        <w:lastRenderedPageBreak/>
        <w:t xml:space="preserve">particular, the large integrated projects secured in some regions, scored highest in respect of overall impacts </w:t>
      </w:r>
      <w:r w:rsidR="00D12BCA" w:rsidRPr="00D12BCA">
        <w:rPr>
          <w:rFonts w:ascii="Times New Roman" w:hAnsi="Times New Roman" w:cs="Times New Roman"/>
          <w:sz w:val="24"/>
          <w:szCs w:val="24"/>
        </w:rPr>
        <w:t>and value for money. A distinguishing feature of these large projects was the emphasis that they gave to investment in local partnerships involving stakeholder bodies</w:t>
      </w:r>
      <w:r w:rsidR="006C0229">
        <w:rPr>
          <w:rFonts w:ascii="Times New Roman" w:hAnsi="Times New Roman" w:cs="Times New Roman"/>
          <w:sz w:val="24"/>
          <w:szCs w:val="24"/>
        </w:rPr>
        <w:t xml:space="preserve">, which </w:t>
      </w:r>
      <w:r w:rsidR="00D12BCA" w:rsidRPr="00D12BCA">
        <w:rPr>
          <w:rFonts w:ascii="Times New Roman" w:hAnsi="Times New Roman" w:cs="Times New Roman"/>
          <w:sz w:val="24"/>
          <w:szCs w:val="24"/>
        </w:rPr>
        <w:t>took on some of the burden of ensuring appropriate beneficiary selection and support.  This enabled quicker delivery of funding to individual beneficiaries and simple</w:t>
      </w:r>
      <w:r w:rsidR="006C0229">
        <w:rPr>
          <w:rFonts w:ascii="Times New Roman" w:hAnsi="Times New Roman" w:cs="Times New Roman"/>
          <w:sz w:val="24"/>
          <w:szCs w:val="24"/>
        </w:rPr>
        <w:t>r</w:t>
      </w:r>
      <w:r w:rsidR="00D12BCA" w:rsidRPr="00D12BCA">
        <w:rPr>
          <w:rFonts w:ascii="Times New Roman" w:hAnsi="Times New Roman" w:cs="Times New Roman"/>
          <w:sz w:val="24"/>
          <w:szCs w:val="24"/>
        </w:rPr>
        <w:t xml:space="preserve"> monitoring and control than under alternative approaches. This example provides evidence that a significant up-front investment in understanding the conditions for RDP transactions</w:t>
      </w:r>
      <w:r w:rsidR="006C0229">
        <w:rPr>
          <w:rFonts w:ascii="Times New Roman" w:hAnsi="Times New Roman" w:cs="Times New Roman"/>
          <w:sz w:val="24"/>
          <w:szCs w:val="24"/>
        </w:rPr>
        <w:t>,</w:t>
      </w:r>
      <w:r w:rsidR="00D12BCA" w:rsidRPr="00D12BCA">
        <w:rPr>
          <w:rFonts w:ascii="Times New Roman" w:hAnsi="Times New Roman" w:cs="Times New Roman"/>
          <w:sz w:val="24"/>
          <w:szCs w:val="24"/>
        </w:rPr>
        <w:t xml:space="preserve"> and working to create conditions favouring lower transaction costs as the programme is rolled out, can pay dividends in respect of </w:t>
      </w:r>
      <w:r w:rsidR="006C0229">
        <w:rPr>
          <w:rFonts w:ascii="Times New Roman" w:hAnsi="Times New Roman" w:cs="Times New Roman"/>
          <w:sz w:val="24"/>
          <w:szCs w:val="24"/>
        </w:rPr>
        <w:t xml:space="preserve">the effectiveness of </w:t>
      </w:r>
      <w:r w:rsidR="00D12BCA" w:rsidRPr="00D12BCA">
        <w:rPr>
          <w:rFonts w:ascii="Times New Roman" w:hAnsi="Times New Roman" w:cs="Times New Roman"/>
          <w:sz w:val="24"/>
          <w:szCs w:val="24"/>
        </w:rPr>
        <w:t>RDP impacts.</w:t>
      </w:r>
    </w:p>
    <w:p w:rsidR="00D12BCA" w:rsidRPr="00D12BCA" w:rsidRDefault="00D12BCA" w:rsidP="00D12BCA">
      <w:pPr>
        <w:spacing w:after="0" w:line="360" w:lineRule="auto"/>
        <w:ind w:left="58"/>
        <w:jc w:val="both"/>
        <w:rPr>
          <w:rFonts w:ascii="Times New Roman" w:hAnsi="Times New Roman" w:cs="Times New Roman"/>
          <w:sz w:val="24"/>
          <w:szCs w:val="24"/>
        </w:rPr>
      </w:pPr>
    </w:p>
    <w:p w:rsidR="00D12BCA" w:rsidRPr="00D12BCA" w:rsidRDefault="00D12BCA" w:rsidP="00D12BCA">
      <w:pPr>
        <w:spacing w:after="0" w:line="360" w:lineRule="auto"/>
        <w:ind w:left="58"/>
        <w:jc w:val="both"/>
        <w:rPr>
          <w:rFonts w:ascii="Times New Roman" w:hAnsi="Times New Roman" w:cs="Times New Roman"/>
          <w:b/>
          <w:sz w:val="24"/>
          <w:szCs w:val="24"/>
        </w:rPr>
      </w:pPr>
      <w:r w:rsidRPr="00D12BCA">
        <w:rPr>
          <w:rFonts w:ascii="Times New Roman" w:hAnsi="Times New Roman" w:cs="Times New Roman"/>
          <w:b/>
          <w:sz w:val="24"/>
          <w:szCs w:val="24"/>
        </w:rPr>
        <w:t>4.2 Reviewing and developing the Malta RDP (from 2007-13 to 2014-2020)</w:t>
      </w:r>
    </w:p>
    <w:p w:rsidR="00D12BCA" w:rsidRPr="00D12BCA" w:rsidRDefault="00D12BCA" w:rsidP="00D12BCA">
      <w:pPr>
        <w:spacing w:after="0" w:line="360" w:lineRule="auto"/>
        <w:ind w:left="58"/>
        <w:jc w:val="both"/>
        <w:rPr>
          <w:rFonts w:ascii="Times New Roman" w:hAnsi="Times New Roman" w:cs="Times New Roman"/>
          <w:sz w:val="24"/>
          <w:szCs w:val="24"/>
        </w:rPr>
      </w:pPr>
      <w:r w:rsidRPr="00D12BCA">
        <w:rPr>
          <w:rFonts w:ascii="Times New Roman" w:hAnsi="Times New Roman" w:cs="Times New Roman"/>
          <w:sz w:val="24"/>
          <w:szCs w:val="24"/>
        </w:rPr>
        <w:t xml:space="preserve">Malta joined the EU relatively recently (acceding in 2004) and, like many smaller Member States, it has faced challenges of limited capacity for full engagement with EU policy requirements. Early experience with RDP design and delivery was disappointing. At mid-term (by 2010), the Maltese RDP 2007-2013 recorded the lowest proportionate expenditure among all member states’ </w:t>
      </w:r>
      <w:r w:rsidR="006C0229">
        <w:rPr>
          <w:rFonts w:ascii="Times New Roman" w:hAnsi="Times New Roman" w:cs="Times New Roman"/>
          <w:sz w:val="24"/>
          <w:szCs w:val="24"/>
        </w:rPr>
        <w:t>p</w:t>
      </w:r>
      <w:r w:rsidRPr="00D12BCA">
        <w:rPr>
          <w:rFonts w:ascii="Times New Roman" w:hAnsi="Times New Roman" w:cs="Times New Roman"/>
          <w:sz w:val="24"/>
          <w:szCs w:val="24"/>
        </w:rPr>
        <w:t xml:space="preserve">rogrammes (Schuh et al, 2012), which was a significant cause for concern within the Maltese Managing Authority (MA). </w:t>
      </w:r>
      <w:r w:rsidR="006C0229">
        <w:rPr>
          <w:rFonts w:ascii="Times New Roman" w:hAnsi="Times New Roman" w:cs="Times New Roman"/>
          <w:sz w:val="24"/>
          <w:szCs w:val="24"/>
        </w:rPr>
        <w:t>S</w:t>
      </w:r>
      <w:r w:rsidRPr="00D12BCA">
        <w:rPr>
          <w:rFonts w:ascii="Times New Roman" w:hAnsi="Times New Roman" w:cs="Times New Roman"/>
          <w:sz w:val="24"/>
          <w:szCs w:val="24"/>
        </w:rPr>
        <w:t>hortly after completion of the mid-term evaluation of its 2007-2013 programme (Cordina et al, 2010)</w:t>
      </w:r>
      <w:r w:rsidR="006C0229">
        <w:rPr>
          <w:rFonts w:ascii="Times New Roman" w:hAnsi="Times New Roman" w:cs="Times New Roman"/>
          <w:sz w:val="24"/>
          <w:szCs w:val="24"/>
        </w:rPr>
        <w:t>,</w:t>
      </w:r>
      <w:r w:rsidRPr="00D12BCA">
        <w:rPr>
          <w:rFonts w:ascii="Times New Roman" w:hAnsi="Times New Roman" w:cs="Times New Roman"/>
          <w:sz w:val="24"/>
          <w:szCs w:val="24"/>
        </w:rPr>
        <w:t xml:space="preserve"> in which many problems were identified,the MA decided to invest in a more strategic review and development process, focused particularly on stronger stakeholder engagement. This provided an opportunity for direct hands-on learning and engagement with RDP development, for the study team. </w:t>
      </w:r>
    </w:p>
    <w:p w:rsidR="00D12BCA" w:rsidRPr="00D12BCA" w:rsidRDefault="00D12BCA" w:rsidP="00D12BCA">
      <w:pPr>
        <w:spacing w:after="0" w:line="360" w:lineRule="auto"/>
        <w:ind w:left="58"/>
        <w:jc w:val="both"/>
        <w:rPr>
          <w:rFonts w:ascii="Times New Roman" w:hAnsi="Times New Roman" w:cs="Times New Roman"/>
          <w:sz w:val="24"/>
          <w:szCs w:val="24"/>
        </w:rPr>
      </w:pPr>
    </w:p>
    <w:p w:rsidR="00AA0695" w:rsidRDefault="00D12BCA" w:rsidP="00137E85">
      <w:pPr>
        <w:spacing w:after="0" w:line="360" w:lineRule="auto"/>
        <w:ind w:left="58"/>
        <w:jc w:val="both"/>
        <w:rPr>
          <w:b/>
        </w:rPr>
      </w:pPr>
      <w:r w:rsidRPr="00D12BCA">
        <w:rPr>
          <w:rFonts w:ascii="Times New Roman" w:hAnsi="Times New Roman" w:cs="Times New Roman"/>
          <w:sz w:val="24"/>
          <w:szCs w:val="24"/>
        </w:rPr>
        <w:t xml:space="preserve">Initial analysis of the 2007-2013 programme (Dwyer et al., 2012b; Government of Malta, 2014) identified a range of issues to be tackled. Table 4 uses the seven transaction cost categories of Coggan et al (2010) to catalogue significant issues arising in the Malta 2007-13 RDP. Programme performance was negatively affected by a range of inter-connected factors giving rise to high transaction costs and low transaction benefits. Most of the issues discussed in section 2 of this paper were apparent, including lack of stakeholder buy-in, low beneficiary awareness, low promotion and facilitation, and lack of relevant prior experience among delivery personnel, </w:t>
      </w:r>
      <w:r w:rsidR="002848C2">
        <w:rPr>
          <w:rFonts w:ascii="Times New Roman" w:hAnsi="Times New Roman" w:cs="Times New Roman"/>
          <w:sz w:val="24"/>
          <w:szCs w:val="24"/>
        </w:rPr>
        <w:t>leading t</w:t>
      </w:r>
      <w:r w:rsidR="00D11A47" w:rsidRPr="00C32D27">
        <w:rPr>
          <w:rFonts w:ascii="Times New Roman" w:hAnsi="Times New Roman" w:cs="Times New Roman"/>
          <w:sz w:val="24"/>
          <w:szCs w:val="24"/>
        </w:rPr>
        <w:t xml:space="preserve">o </w:t>
      </w:r>
      <w:r w:rsidR="002848C2">
        <w:rPr>
          <w:rFonts w:ascii="Times New Roman" w:hAnsi="Times New Roman" w:cs="Times New Roman"/>
          <w:sz w:val="24"/>
          <w:szCs w:val="24"/>
        </w:rPr>
        <w:t>in</w:t>
      </w:r>
      <w:r w:rsidR="00D11A47" w:rsidRPr="00C32D27">
        <w:rPr>
          <w:rFonts w:ascii="Times New Roman" w:hAnsi="Times New Roman" w:cs="Times New Roman"/>
          <w:sz w:val="24"/>
          <w:szCs w:val="24"/>
        </w:rPr>
        <w:t>appropriate evaluative criteria</w:t>
      </w:r>
      <w:r w:rsidR="002848C2">
        <w:rPr>
          <w:rFonts w:ascii="Times New Roman" w:hAnsi="Times New Roman" w:cs="Times New Roman"/>
          <w:sz w:val="24"/>
          <w:szCs w:val="24"/>
        </w:rPr>
        <w:t xml:space="preserve"> for project selection</w:t>
      </w:r>
      <w:r w:rsidR="00F81775">
        <w:rPr>
          <w:rFonts w:ascii="Times New Roman" w:hAnsi="Times New Roman" w:cs="Times New Roman"/>
          <w:sz w:val="24"/>
          <w:szCs w:val="24"/>
        </w:rPr>
        <w:t xml:space="preserve">. </w:t>
      </w:r>
      <w:r w:rsidR="000415F0">
        <w:rPr>
          <w:rFonts w:ascii="Times New Roman" w:hAnsi="Times New Roman" w:cs="Times New Roman"/>
          <w:sz w:val="24"/>
          <w:szCs w:val="24"/>
        </w:rPr>
        <w:t>De</w:t>
      </w:r>
      <w:r w:rsidR="00D11A47" w:rsidRPr="00C32D27">
        <w:rPr>
          <w:rFonts w:ascii="Times New Roman" w:hAnsi="Times New Roman" w:cs="Times New Roman"/>
          <w:sz w:val="24"/>
          <w:szCs w:val="24"/>
        </w:rPr>
        <w:t>cisi</w:t>
      </w:r>
      <w:r w:rsidR="00711658" w:rsidRPr="00C32D27">
        <w:rPr>
          <w:rFonts w:ascii="Times New Roman" w:hAnsi="Times New Roman" w:cs="Times New Roman"/>
          <w:sz w:val="24"/>
          <w:szCs w:val="24"/>
        </w:rPr>
        <w:t>ons</w:t>
      </w:r>
      <w:r w:rsidR="00F81775">
        <w:rPr>
          <w:rFonts w:ascii="Times New Roman" w:hAnsi="Times New Roman" w:cs="Times New Roman"/>
          <w:sz w:val="24"/>
          <w:szCs w:val="24"/>
        </w:rPr>
        <w:t xml:space="preserve"> on </w:t>
      </w:r>
      <w:r w:rsidR="00AA0695">
        <w:rPr>
          <w:b/>
        </w:rPr>
        <w:br w:type="page"/>
      </w:r>
    </w:p>
    <w:p w:rsidR="004E6E60" w:rsidRPr="006B1A5D" w:rsidRDefault="004E6E60" w:rsidP="008D745F">
      <w:pPr>
        <w:spacing w:after="0" w:line="360" w:lineRule="auto"/>
        <w:rPr>
          <w:rFonts w:ascii="Times New Roman" w:hAnsi="Times New Roman" w:cs="Times New Roman"/>
          <w:b/>
        </w:rPr>
      </w:pPr>
      <w:r w:rsidRPr="006B1A5D">
        <w:rPr>
          <w:rFonts w:ascii="Times New Roman" w:hAnsi="Times New Roman" w:cs="Times New Roman"/>
          <w:b/>
        </w:rPr>
        <w:lastRenderedPageBreak/>
        <w:t xml:space="preserve">Table </w:t>
      </w:r>
      <w:r w:rsidR="004C3C96" w:rsidRPr="006B1A5D">
        <w:rPr>
          <w:rFonts w:ascii="Times New Roman" w:hAnsi="Times New Roman" w:cs="Times New Roman"/>
          <w:b/>
        </w:rPr>
        <w:t>4</w:t>
      </w:r>
      <w:r w:rsidRPr="006B1A5D">
        <w:rPr>
          <w:rFonts w:ascii="Times New Roman" w:hAnsi="Times New Roman" w:cs="Times New Roman"/>
          <w:b/>
        </w:rPr>
        <w:t>.</w:t>
      </w:r>
      <w:r w:rsidR="0080317D" w:rsidRPr="006B1A5D">
        <w:rPr>
          <w:rFonts w:ascii="Times New Roman" w:hAnsi="Times New Roman" w:cs="Times New Roman"/>
          <w:b/>
        </w:rPr>
        <w:t xml:space="preserve"> </w:t>
      </w:r>
      <w:r w:rsidRPr="006B1A5D">
        <w:rPr>
          <w:rFonts w:ascii="Times New Roman" w:hAnsi="Times New Roman" w:cs="Times New Roman"/>
          <w:b/>
        </w:rPr>
        <w:t xml:space="preserve"> Malta: </w:t>
      </w:r>
      <w:r w:rsidR="003545A1">
        <w:rPr>
          <w:rFonts w:ascii="Times New Roman" w:hAnsi="Times New Roman" w:cs="Times New Roman"/>
          <w:b/>
        </w:rPr>
        <w:t>T</w:t>
      </w:r>
      <w:r w:rsidRPr="006B1A5D">
        <w:rPr>
          <w:rFonts w:ascii="Times New Roman" w:hAnsi="Times New Roman" w:cs="Times New Roman"/>
          <w:b/>
        </w:rPr>
        <w:t xml:space="preserve">ransaction </w:t>
      </w:r>
      <w:r w:rsidR="006B1A5D">
        <w:rPr>
          <w:rFonts w:ascii="Times New Roman" w:hAnsi="Times New Roman" w:cs="Times New Roman"/>
          <w:b/>
        </w:rPr>
        <w:t>c</w:t>
      </w:r>
      <w:r w:rsidRPr="006B1A5D">
        <w:rPr>
          <w:rFonts w:ascii="Times New Roman" w:hAnsi="Times New Roman" w:cs="Times New Roman"/>
          <w:b/>
        </w:rPr>
        <w:t xml:space="preserve">osts </w:t>
      </w:r>
      <w:r w:rsidR="00137E85">
        <w:rPr>
          <w:rFonts w:ascii="Times New Roman" w:hAnsi="Times New Roman" w:cs="Times New Roman"/>
          <w:b/>
        </w:rPr>
        <w:t>in</w:t>
      </w:r>
      <w:r w:rsidRPr="006B1A5D">
        <w:rPr>
          <w:rFonts w:ascii="Times New Roman" w:hAnsi="Times New Roman" w:cs="Times New Roman"/>
          <w:b/>
        </w:rPr>
        <w:t xml:space="preserve"> delivery of the RDP 2007-13</w:t>
      </w:r>
      <w:r w:rsidR="00137E85">
        <w:rPr>
          <w:rFonts w:ascii="Times New Roman" w:hAnsi="Times New Roman" w:cs="Times New Roman"/>
          <w:b/>
        </w:rPr>
        <w:t xml:space="preserve"> </w:t>
      </w:r>
      <w:r w:rsidR="00137E85" w:rsidRPr="00137E85">
        <w:rPr>
          <w:rFonts w:ascii="Times New Roman" w:hAnsi="Times New Roman" w:cs="Times New Roman"/>
        </w:rPr>
        <w:t>(source: authors</w:t>
      </w:r>
      <w:r w:rsidR="003545A1">
        <w:rPr>
          <w:rFonts w:ascii="Times New Roman" w:hAnsi="Times New Roman" w:cs="Times New Roman"/>
        </w:rPr>
        <w:t>’ own</w:t>
      </w:r>
      <w:r w:rsidR="00137E85" w:rsidRPr="00137E85">
        <w:rPr>
          <w:rFonts w:ascii="Times New Roman" w:hAnsi="Times New Roman" w:cs="Times New Roman"/>
        </w:rPr>
        <w:t>)</w:t>
      </w:r>
    </w:p>
    <w:tbl>
      <w:tblPr>
        <w:tblStyle w:val="TableGrid1"/>
        <w:tblW w:w="0" w:type="auto"/>
        <w:tblLook w:val="04A0" w:firstRow="1" w:lastRow="0" w:firstColumn="1" w:lastColumn="0" w:noHBand="0" w:noVBand="1"/>
      </w:tblPr>
      <w:tblGrid>
        <w:gridCol w:w="1668"/>
        <w:gridCol w:w="7796"/>
      </w:tblGrid>
      <w:tr w:rsidR="004E6E60" w:rsidRPr="008B63BC" w:rsidTr="006B1A5D">
        <w:tc>
          <w:tcPr>
            <w:tcW w:w="1668" w:type="dxa"/>
          </w:tcPr>
          <w:p w:rsidR="004E6E60" w:rsidRPr="008B63BC" w:rsidRDefault="00DD7109" w:rsidP="006B1A5D">
            <w:pPr>
              <w:jc w:val="center"/>
              <w:rPr>
                <w:rFonts w:ascii="Times New Roman" w:hAnsi="Times New Roman" w:cs="Times New Roman"/>
                <w:b/>
                <w:sz w:val="20"/>
                <w:szCs w:val="20"/>
              </w:rPr>
            </w:pPr>
            <w:r w:rsidRPr="008B63BC">
              <w:rPr>
                <w:rFonts w:ascii="Times New Roman" w:hAnsi="Times New Roman" w:cs="Times New Roman"/>
                <w:b/>
                <w:sz w:val="20"/>
                <w:szCs w:val="20"/>
              </w:rPr>
              <w:t>Delivery p</w:t>
            </w:r>
            <w:r w:rsidR="00AA0695">
              <w:rPr>
                <w:rFonts w:ascii="Times New Roman" w:hAnsi="Times New Roman" w:cs="Times New Roman"/>
                <w:b/>
                <w:sz w:val="20"/>
                <w:szCs w:val="20"/>
              </w:rPr>
              <w:t xml:space="preserve">rocess </w:t>
            </w:r>
          </w:p>
        </w:tc>
        <w:tc>
          <w:tcPr>
            <w:tcW w:w="7796" w:type="dxa"/>
          </w:tcPr>
          <w:p w:rsidR="004E6E60" w:rsidRPr="008B63BC" w:rsidRDefault="006B1A5D" w:rsidP="006B1A5D">
            <w:pPr>
              <w:jc w:val="center"/>
              <w:rPr>
                <w:rFonts w:ascii="Times New Roman" w:hAnsi="Times New Roman" w:cs="Times New Roman"/>
                <w:b/>
                <w:sz w:val="20"/>
                <w:szCs w:val="20"/>
              </w:rPr>
            </w:pPr>
            <w:r>
              <w:rPr>
                <w:rFonts w:ascii="Times New Roman" w:hAnsi="Times New Roman" w:cs="Times New Roman"/>
                <w:b/>
                <w:sz w:val="20"/>
                <w:szCs w:val="20"/>
              </w:rPr>
              <w:t>Issues</w:t>
            </w:r>
            <w:r w:rsidR="004E6E60" w:rsidRPr="008B63BC">
              <w:rPr>
                <w:rFonts w:ascii="Times New Roman" w:hAnsi="Times New Roman" w:cs="Times New Roman"/>
                <w:b/>
                <w:sz w:val="20"/>
                <w:szCs w:val="20"/>
              </w:rPr>
              <w:t xml:space="preserve"> 2007-13</w:t>
            </w:r>
          </w:p>
        </w:tc>
      </w:tr>
      <w:tr w:rsidR="004E6E60" w:rsidRPr="008B63BC" w:rsidTr="006B1A5D">
        <w:tc>
          <w:tcPr>
            <w:tcW w:w="1668" w:type="dxa"/>
          </w:tcPr>
          <w:p w:rsidR="004E6E60" w:rsidRPr="008B63BC" w:rsidRDefault="004E6E60" w:rsidP="006B1A5D">
            <w:pPr>
              <w:contextualSpacing/>
              <w:rPr>
                <w:rFonts w:ascii="Times New Roman" w:hAnsi="Times New Roman" w:cs="Times New Roman"/>
                <w:b/>
                <w:sz w:val="20"/>
                <w:szCs w:val="20"/>
              </w:rPr>
            </w:pPr>
            <w:r w:rsidRPr="008B63BC">
              <w:rPr>
                <w:rFonts w:ascii="Times New Roman" w:hAnsi="Times New Roman" w:cs="Times New Roman"/>
                <w:b/>
                <w:sz w:val="20"/>
                <w:szCs w:val="20"/>
              </w:rPr>
              <w:t>Programme /scheme design</w:t>
            </w:r>
          </w:p>
          <w:p w:rsidR="004E6E60" w:rsidRPr="008B63BC" w:rsidRDefault="004E6E60" w:rsidP="006B1A5D">
            <w:pPr>
              <w:contextualSpacing/>
              <w:rPr>
                <w:rFonts w:ascii="Times New Roman" w:hAnsi="Times New Roman" w:cs="Times New Roman"/>
                <w:b/>
                <w:sz w:val="20"/>
                <w:szCs w:val="20"/>
              </w:rPr>
            </w:pPr>
          </w:p>
        </w:tc>
        <w:tc>
          <w:tcPr>
            <w:tcW w:w="7796" w:type="dxa"/>
          </w:tcPr>
          <w:p w:rsidR="004E6E60"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Low stakeholder engagement</w:t>
            </w:r>
            <w:r w:rsidR="00AA0695">
              <w:rPr>
                <w:rFonts w:ascii="Times New Roman" w:hAnsi="Times New Roman" w:cs="Times New Roman"/>
                <w:sz w:val="20"/>
                <w:szCs w:val="20"/>
              </w:rPr>
              <w:t xml:space="preserve"> due to lack of promotion and awareness</w:t>
            </w:r>
          </w:p>
          <w:p w:rsidR="004E6E60" w:rsidRPr="00AA0695" w:rsidRDefault="004E6E60" w:rsidP="00AA0695">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Multiple fragme</w:t>
            </w:r>
            <w:r w:rsidR="00DD7109" w:rsidRPr="008B63BC">
              <w:rPr>
                <w:rFonts w:ascii="Times New Roman" w:hAnsi="Times New Roman" w:cs="Times New Roman"/>
                <w:sz w:val="20"/>
                <w:szCs w:val="20"/>
              </w:rPr>
              <w:t>nted calls for single measures</w:t>
            </w:r>
            <w:r w:rsidR="00AA0695">
              <w:rPr>
                <w:rFonts w:ascii="Times New Roman" w:hAnsi="Times New Roman" w:cs="Times New Roman"/>
                <w:sz w:val="20"/>
                <w:szCs w:val="20"/>
              </w:rPr>
              <w:t xml:space="preserve"> increased beneficiary TCs</w:t>
            </w:r>
          </w:p>
          <w:p w:rsidR="004E6E60" w:rsidRPr="008B63BC" w:rsidRDefault="00AA0695" w:rsidP="006B1A5D">
            <w:pPr>
              <w:pStyle w:val="ListParagraph"/>
              <w:numPr>
                <w:ilvl w:val="0"/>
                <w:numId w:val="12"/>
              </w:numPr>
              <w:ind w:left="459"/>
              <w:rPr>
                <w:rFonts w:ascii="Times New Roman" w:hAnsi="Times New Roman" w:cs="Times New Roman"/>
                <w:sz w:val="20"/>
                <w:szCs w:val="20"/>
              </w:rPr>
            </w:pPr>
            <w:r>
              <w:rPr>
                <w:rFonts w:ascii="Times New Roman" w:hAnsi="Times New Roman" w:cs="Times New Roman"/>
                <w:sz w:val="20"/>
                <w:szCs w:val="20"/>
              </w:rPr>
              <w:t>Poor information/training means p</w:t>
            </w:r>
            <w:r w:rsidR="004E6E60" w:rsidRPr="008B63BC">
              <w:rPr>
                <w:rFonts w:ascii="Times New Roman" w:hAnsi="Times New Roman" w:cs="Times New Roman"/>
                <w:sz w:val="20"/>
                <w:szCs w:val="20"/>
              </w:rPr>
              <w:t>ersonnel wary of misinterpreting EU  requirements</w:t>
            </w:r>
            <w:r w:rsidR="00DD7109" w:rsidRPr="008B63BC">
              <w:rPr>
                <w:rFonts w:ascii="Times New Roman" w:hAnsi="Times New Roman" w:cs="Times New Roman"/>
                <w:sz w:val="20"/>
                <w:szCs w:val="20"/>
              </w:rPr>
              <w:t xml:space="preserve"> – le</w:t>
            </w:r>
            <w:r>
              <w:rPr>
                <w:rFonts w:ascii="Times New Roman" w:hAnsi="Times New Roman" w:cs="Times New Roman"/>
                <w:sz w:val="20"/>
                <w:szCs w:val="20"/>
              </w:rPr>
              <w:t>a</w:t>
            </w:r>
            <w:r w:rsidR="00DD7109" w:rsidRPr="008B63BC">
              <w:rPr>
                <w:rFonts w:ascii="Times New Roman" w:hAnsi="Times New Roman" w:cs="Times New Roman"/>
                <w:sz w:val="20"/>
                <w:szCs w:val="20"/>
              </w:rPr>
              <w:t>d</w:t>
            </w:r>
            <w:r>
              <w:rPr>
                <w:rFonts w:ascii="Times New Roman" w:hAnsi="Times New Roman" w:cs="Times New Roman"/>
                <w:sz w:val="20"/>
                <w:szCs w:val="20"/>
              </w:rPr>
              <w:t>ing to conservative use of measures not best suited to local needs</w:t>
            </w:r>
          </w:p>
          <w:p w:rsidR="004E6E60"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P</w:t>
            </w:r>
            <w:r w:rsidR="004E6E60" w:rsidRPr="008B63BC">
              <w:rPr>
                <w:rFonts w:ascii="Times New Roman" w:hAnsi="Times New Roman" w:cs="Times New Roman"/>
                <w:sz w:val="20"/>
                <w:szCs w:val="20"/>
              </w:rPr>
              <w:t xml:space="preserve">ressure to switch funds to big investments in the most organized sectors, </w:t>
            </w:r>
            <w:r w:rsidRPr="008B63BC">
              <w:rPr>
                <w:rFonts w:ascii="Times New Roman" w:hAnsi="Times New Roman" w:cs="Times New Roman"/>
                <w:sz w:val="20"/>
                <w:szCs w:val="20"/>
              </w:rPr>
              <w:t>to enable spending  target to be easily met</w:t>
            </w:r>
          </w:p>
          <w:p w:rsidR="004E6E60" w:rsidRPr="008B63BC" w:rsidRDefault="004E6E60" w:rsidP="00AA0695">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Political pressure to</w:t>
            </w:r>
            <w:r w:rsidR="00DD7109" w:rsidRPr="008B63BC">
              <w:rPr>
                <w:rFonts w:ascii="Times New Roman" w:hAnsi="Times New Roman" w:cs="Times New Roman"/>
                <w:sz w:val="20"/>
                <w:szCs w:val="20"/>
              </w:rPr>
              <w:t xml:space="preserve"> maximise the number of beneficiaries, </w:t>
            </w:r>
            <w:r w:rsidR="00AA0695">
              <w:rPr>
                <w:rFonts w:ascii="Times New Roman" w:hAnsi="Times New Roman" w:cs="Times New Roman"/>
                <w:sz w:val="20"/>
                <w:szCs w:val="20"/>
              </w:rPr>
              <w:t>high TCs</w:t>
            </w:r>
          </w:p>
        </w:tc>
      </w:tr>
      <w:tr w:rsidR="004E6E60" w:rsidRPr="008B63BC" w:rsidTr="006B1A5D">
        <w:trPr>
          <w:trHeight w:val="846"/>
        </w:trPr>
        <w:tc>
          <w:tcPr>
            <w:tcW w:w="1668" w:type="dxa"/>
          </w:tcPr>
          <w:p w:rsidR="004E6E60" w:rsidRPr="008B63BC" w:rsidRDefault="004E6E60" w:rsidP="006B1A5D">
            <w:pPr>
              <w:contextualSpacing/>
              <w:rPr>
                <w:rFonts w:ascii="Times New Roman" w:hAnsi="Times New Roman" w:cs="Times New Roman"/>
                <w:b/>
                <w:i/>
                <w:sz w:val="20"/>
                <w:szCs w:val="20"/>
              </w:rPr>
            </w:pPr>
            <w:r w:rsidRPr="008B63BC">
              <w:rPr>
                <w:rFonts w:ascii="Times New Roman" w:hAnsi="Times New Roman" w:cs="Times New Roman"/>
                <w:b/>
                <w:sz w:val="20"/>
                <w:szCs w:val="20"/>
              </w:rPr>
              <w:t>Knowledge &amp; information</w:t>
            </w:r>
            <w:r w:rsidRPr="008B63BC">
              <w:rPr>
                <w:rFonts w:ascii="Times New Roman" w:hAnsi="Times New Roman" w:cs="Times New Roman"/>
                <w:b/>
                <w:i/>
                <w:sz w:val="20"/>
                <w:szCs w:val="20"/>
              </w:rPr>
              <w:t xml:space="preserve"> </w:t>
            </w:r>
          </w:p>
        </w:tc>
        <w:tc>
          <w:tcPr>
            <w:tcW w:w="7796" w:type="dxa"/>
          </w:tcPr>
          <w:p w:rsidR="004E6E60" w:rsidRPr="00AA0695" w:rsidRDefault="004E6E60" w:rsidP="006B1A5D">
            <w:pPr>
              <w:pStyle w:val="ListParagraph"/>
              <w:numPr>
                <w:ilvl w:val="0"/>
                <w:numId w:val="12"/>
              </w:numPr>
              <w:ind w:left="459"/>
              <w:rPr>
                <w:rFonts w:ascii="Times New Roman" w:hAnsi="Times New Roman" w:cs="Times New Roman"/>
                <w:sz w:val="20"/>
                <w:szCs w:val="20"/>
              </w:rPr>
            </w:pPr>
            <w:r w:rsidRPr="00AA0695">
              <w:rPr>
                <w:rFonts w:ascii="Times New Roman" w:hAnsi="Times New Roman" w:cs="Times New Roman"/>
                <w:sz w:val="20"/>
                <w:szCs w:val="20"/>
              </w:rPr>
              <w:t>Poo</w:t>
            </w:r>
            <w:r w:rsidR="00DD7109" w:rsidRPr="00AA0695">
              <w:rPr>
                <w:rFonts w:ascii="Times New Roman" w:hAnsi="Times New Roman" w:cs="Times New Roman"/>
                <w:sz w:val="20"/>
                <w:szCs w:val="20"/>
              </w:rPr>
              <w:t>r information to beneficiaries</w:t>
            </w:r>
            <w:r w:rsidR="00AA0695" w:rsidRPr="00AA0695">
              <w:rPr>
                <w:rFonts w:ascii="Times New Roman" w:hAnsi="Times New Roman" w:cs="Times New Roman"/>
                <w:sz w:val="20"/>
                <w:szCs w:val="20"/>
              </w:rPr>
              <w:t xml:space="preserve">, with </w:t>
            </w:r>
            <w:r w:rsidR="00DD7109" w:rsidRPr="00AA0695">
              <w:rPr>
                <w:rFonts w:ascii="Times New Roman" w:hAnsi="Times New Roman" w:cs="Times New Roman"/>
                <w:sz w:val="20"/>
                <w:szCs w:val="20"/>
              </w:rPr>
              <w:t>little free advice to farmers</w:t>
            </w:r>
            <w:r w:rsidR="00AA0695" w:rsidRPr="00AA0695">
              <w:rPr>
                <w:rFonts w:ascii="Times New Roman" w:hAnsi="Times New Roman" w:cs="Times New Roman"/>
                <w:sz w:val="20"/>
                <w:szCs w:val="20"/>
              </w:rPr>
              <w:t xml:space="preserve"> and </w:t>
            </w:r>
            <w:r w:rsidR="00AA0695">
              <w:rPr>
                <w:rFonts w:ascii="Times New Roman" w:hAnsi="Times New Roman" w:cs="Times New Roman"/>
                <w:sz w:val="20"/>
                <w:szCs w:val="20"/>
              </w:rPr>
              <w:t>n</w:t>
            </w:r>
            <w:r w:rsidR="00DD7109" w:rsidRPr="00AA0695">
              <w:rPr>
                <w:rFonts w:ascii="Times New Roman" w:hAnsi="Times New Roman" w:cs="Times New Roman"/>
                <w:sz w:val="20"/>
                <w:szCs w:val="20"/>
              </w:rPr>
              <w:t>o facilitation</w:t>
            </w:r>
          </w:p>
          <w:p w:rsidR="00A75829" w:rsidRDefault="00DD7109" w:rsidP="00AA0695">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T</w:t>
            </w:r>
            <w:r w:rsidR="004E6E60" w:rsidRPr="008B63BC">
              <w:rPr>
                <w:rFonts w:ascii="Times New Roman" w:hAnsi="Times New Roman" w:cs="Times New Roman"/>
                <w:sz w:val="20"/>
                <w:szCs w:val="20"/>
              </w:rPr>
              <w:t xml:space="preserve">rainers </w:t>
            </w:r>
            <w:r w:rsidR="0096539B">
              <w:rPr>
                <w:rFonts w:ascii="Times New Roman" w:hAnsi="Times New Roman" w:cs="Times New Roman"/>
                <w:sz w:val="20"/>
                <w:szCs w:val="20"/>
              </w:rPr>
              <w:t xml:space="preserve">from different organisations </w:t>
            </w:r>
            <w:r w:rsidR="00AA0695">
              <w:rPr>
                <w:rFonts w:ascii="Times New Roman" w:hAnsi="Times New Roman" w:cs="Times New Roman"/>
                <w:sz w:val="20"/>
                <w:szCs w:val="20"/>
              </w:rPr>
              <w:t>disputing</w:t>
            </w:r>
            <w:r w:rsidR="007711A4">
              <w:rPr>
                <w:rFonts w:ascii="Times New Roman" w:hAnsi="Times New Roman" w:cs="Times New Roman"/>
                <w:sz w:val="20"/>
                <w:szCs w:val="20"/>
              </w:rPr>
              <w:t xml:space="preserve"> </w:t>
            </w:r>
            <w:r w:rsidR="00AA0695">
              <w:rPr>
                <w:rFonts w:ascii="Times New Roman" w:hAnsi="Times New Roman" w:cs="Times New Roman"/>
                <w:sz w:val="20"/>
                <w:szCs w:val="20"/>
              </w:rPr>
              <w:t>each other’s</w:t>
            </w:r>
            <w:r w:rsidR="007711A4">
              <w:rPr>
                <w:rFonts w:ascii="Times New Roman" w:hAnsi="Times New Roman" w:cs="Times New Roman"/>
                <w:sz w:val="20"/>
                <w:szCs w:val="20"/>
              </w:rPr>
              <w:t xml:space="preserve"> legitimacy to</w:t>
            </w:r>
            <w:r w:rsidR="0096539B">
              <w:rPr>
                <w:rFonts w:ascii="Times New Roman" w:hAnsi="Times New Roman" w:cs="Times New Roman"/>
                <w:sz w:val="20"/>
                <w:szCs w:val="20"/>
              </w:rPr>
              <w:t xml:space="preserve"> access limited funding sources,</w:t>
            </w:r>
            <w:r w:rsidRPr="008B63BC">
              <w:rPr>
                <w:rFonts w:ascii="Times New Roman" w:hAnsi="Times New Roman" w:cs="Times New Roman"/>
                <w:sz w:val="20"/>
                <w:szCs w:val="20"/>
              </w:rPr>
              <w:t xml:space="preserve"> </w:t>
            </w:r>
            <w:r w:rsidR="0096539B">
              <w:rPr>
                <w:rFonts w:ascii="Times New Roman" w:hAnsi="Times New Roman" w:cs="Times New Roman"/>
                <w:sz w:val="20"/>
                <w:szCs w:val="20"/>
              </w:rPr>
              <w:t xml:space="preserve">resulting in </w:t>
            </w:r>
            <w:r w:rsidR="00AA0695">
              <w:rPr>
                <w:rFonts w:ascii="Times New Roman" w:hAnsi="Times New Roman" w:cs="Times New Roman"/>
                <w:sz w:val="20"/>
                <w:szCs w:val="20"/>
              </w:rPr>
              <w:t xml:space="preserve">the </w:t>
            </w:r>
            <w:r w:rsidR="007711A4">
              <w:rPr>
                <w:rFonts w:ascii="Times New Roman" w:hAnsi="Times New Roman" w:cs="Times New Roman"/>
                <w:sz w:val="20"/>
                <w:szCs w:val="20"/>
              </w:rPr>
              <w:t xml:space="preserve">delayed </w:t>
            </w:r>
            <w:r w:rsidR="0096539B">
              <w:rPr>
                <w:rFonts w:ascii="Times New Roman" w:hAnsi="Times New Roman" w:cs="Times New Roman"/>
                <w:sz w:val="20"/>
                <w:szCs w:val="20"/>
              </w:rPr>
              <w:t xml:space="preserve">issue of </w:t>
            </w:r>
            <w:r w:rsidR="007711A4">
              <w:rPr>
                <w:rFonts w:ascii="Times New Roman" w:hAnsi="Times New Roman" w:cs="Times New Roman"/>
                <w:sz w:val="20"/>
                <w:szCs w:val="20"/>
              </w:rPr>
              <w:t>only</w:t>
            </w:r>
            <w:r w:rsidR="0096539B">
              <w:rPr>
                <w:rFonts w:ascii="Times New Roman" w:hAnsi="Times New Roman" w:cs="Times New Roman"/>
                <w:sz w:val="20"/>
                <w:szCs w:val="20"/>
              </w:rPr>
              <w:t xml:space="preserve"> small training contracts,  </w:t>
            </w:r>
            <w:r w:rsidRPr="008B63BC">
              <w:rPr>
                <w:rFonts w:ascii="Times New Roman" w:hAnsi="Times New Roman" w:cs="Times New Roman"/>
                <w:sz w:val="20"/>
                <w:szCs w:val="20"/>
              </w:rPr>
              <w:t xml:space="preserve">and </w:t>
            </w:r>
            <w:r w:rsidR="0096539B">
              <w:rPr>
                <w:rFonts w:ascii="Times New Roman" w:hAnsi="Times New Roman" w:cs="Times New Roman"/>
                <w:sz w:val="20"/>
                <w:szCs w:val="20"/>
              </w:rPr>
              <w:t>poor</w:t>
            </w:r>
            <w:r w:rsidR="004E6E60" w:rsidRPr="008B63BC">
              <w:rPr>
                <w:rFonts w:ascii="Times New Roman" w:hAnsi="Times New Roman" w:cs="Times New Roman"/>
                <w:sz w:val="20"/>
                <w:szCs w:val="20"/>
              </w:rPr>
              <w:t xml:space="preserve"> integrat</w:t>
            </w:r>
            <w:r w:rsidR="0096539B">
              <w:rPr>
                <w:rFonts w:ascii="Times New Roman" w:hAnsi="Times New Roman" w:cs="Times New Roman"/>
                <w:sz w:val="20"/>
                <w:szCs w:val="20"/>
              </w:rPr>
              <w:t>ion and delivery</w:t>
            </w:r>
            <w:r w:rsidR="007711A4">
              <w:rPr>
                <w:rFonts w:ascii="Times New Roman" w:hAnsi="Times New Roman" w:cs="Times New Roman"/>
                <w:sz w:val="20"/>
                <w:szCs w:val="20"/>
              </w:rPr>
              <w:t xml:space="preserve"> of these elements of the programme</w:t>
            </w:r>
          </w:p>
        </w:tc>
      </w:tr>
      <w:tr w:rsidR="004E6E60" w:rsidRPr="008B63BC" w:rsidTr="006B1A5D">
        <w:trPr>
          <w:trHeight w:val="590"/>
        </w:trPr>
        <w:tc>
          <w:tcPr>
            <w:tcW w:w="1668" w:type="dxa"/>
          </w:tcPr>
          <w:p w:rsidR="004E6E60" w:rsidRPr="008B63BC" w:rsidRDefault="004E6E60" w:rsidP="006B1A5D">
            <w:pPr>
              <w:ind w:left="-42"/>
              <w:rPr>
                <w:rFonts w:ascii="Times New Roman" w:hAnsi="Times New Roman" w:cs="Times New Roman"/>
                <w:sz w:val="20"/>
                <w:szCs w:val="20"/>
              </w:rPr>
            </w:pPr>
            <w:r w:rsidRPr="008B63BC">
              <w:rPr>
                <w:rFonts w:ascii="Times New Roman" w:hAnsi="Times New Roman" w:cs="Times New Roman"/>
                <w:b/>
                <w:sz w:val="20"/>
                <w:szCs w:val="20"/>
              </w:rPr>
              <w:t>Perception &amp; understanding</w:t>
            </w:r>
            <w:r w:rsidRPr="008B63BC">
              <w:rPr>
                <w:rFonts w:ascii="Times New Roman" w:hAnsi="Times New Roman" w:cs="Times New Roman"/>
                <w:sz w:val="20"/>
                <w:szCs w:val="20"/>
              </w:rPr>
              <w:t xml:space="preserve"> </w:t>
            </w:r>
          </w:p>
        </w:tc>
        <w:tc>
          <w:tcPr>
            <w:tcW w:w="7796" w:type="dxa"/>
          </w:tcPr>
          <w:p w:rsidR="004E6E60"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 xml:space="preserve">Limited understanding of </w:t>
            </w:r>
            <w:r w:rsidR="007711A4">
              <w:rPr>
                <w:rFonts w:ascii="Times New Roman" w:hAnsi="Times New Roman" w:cs="Times New Roman"/>
                <w:sz w:val="20"/>
                <w:szCs w:val="20"/>
              </w:rPr>
              <w:t xml:space="preserve">the </w:t>
            </w:r>
            <w:r w:rsidRPr="008B63BC">
              <w:rPr>
                <w:rFonts w:ascii="Times New Roman" w:hAnsi="Times New Roman" w:cs="Times New Roman"/>
                <w:sz w:val="20"/>
                <w:szCs w:val="20"/>
              </w:rPr>
              <w:t>programme by stakeholders and potential beneficiaries</w:t>
            </w:r>
          </w:p>
          <w:p w:rsidR="004E6E60"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L</w:t>
            </w:r>
            <w:r w:rsidR="004E6E60" w:rsidRPr="008B63BC">
              <w:rPr>
                <w:rFonts w:ascii="Times New Roman" w:hAnsi="Times New Roman" w:cs="Times New Roman"/>
                <w:sz w:val="20"/>
                <w:szCs w:val="20"/>
              </w:rPr>
              <w:t xml:space="preserve">ow </w:t>
            </w:r>
            <w:r w:rsidRPr="008B63BC">
              <w:rPr>
                <w:rFonts w:ascii="Times New Roman" w:hAnsi="Times New Roman" w:cs="Times New Roman"/>
                <w:sz w:val="20"/>
                <w:szCs w:val="20"/>
              </w:rPr>
              <w:t>level of trust in RDP processes and personnel</w:t>
            </w:r>
          </w:p>
          <w:p w:rsidR="00A9164B" w:rsidRDefault="004E6E60"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Producer groups set up</w:t>
            </w:r>
            <w:r w:rsidR="00AA0695">
              <w:rPr>
                <w:rFonts w:ascii="Times New Roman" w:hAnsi="Times New Roman" w:cs="Times New Roman"/>
                <w:sz w:val="20"/>
                <w:szCs w:val="20"/>
              </w:rPr>
              <w:t xml:space="preserve"> </w:t>
            </w:r>
            <w:r w:rsidR="00AA0695" w:rsidRPr="00AA0695">
              <w:rPr>
                <w:rFonts w:ascii="Times New Roman" w:hAnsi="Times New Roman" w:cs="Times New Roman"/>
                <w:i/>
                <w:sz w:val="20"/>
                <w:szCs w:val="20"/>
              </w:rPr>
              <w:t>de minimis</w:t>
            </w:r>
            <w:r w:rsidRPr="008B63BC">
              <w:rPr>
                <w:rFonts w:ascii="Times New Roman" w:hAnsi="Times New Roman" w:cs="Times New Roman"/>
                <w:sz w:val="20"/>
                <w:szCs w:val="20"/>
              </w:rPr>
              <w:t xml:space="preserve"> just to access funds: many failed</w:t>
            </w:r>
            <w:r w:rsidR="003C0DAA">
              <w:rPr>
                <w:rFonts w:ascii="Times New Roman" w:hAnsi="Times New Roman" w:cs="Times New Roman"/>
                <w:sz w:val="20"/>
                <w:szCs w:val="20"/>
              </w:rPr>
              <w:t xml:space="preserve"> to deliver production or marketing improvements</w:t>
            </w:r>
            <w:r w:rsidR="00073A2E">
              <w:rPr>
                <w:rFonts w:ascii="Times New Roman" w:hAnsi="Times New Roman" w:cs="Times New Roman"/>
                <w:sz w:val="20"/>
                <w:szCs w:val="20"/>
              </w:rPr>
              <w:t xml:space="preserve"> as</w:t>
            </w:r>
            <w:r w:rsidRPr="008B63BC">
              <w:rPr>
                <w:rFonts w:ascii="Times New Roman" w:hAnsi="Times New Roman" w:cs="Times New Roman"/>
                <w:sz w:val="20"/>
                <w:szCs w:val="20"/>
              </w:rPr>
              <w:t xml:space="preserve"> too small, ineffective</w:t>
            </w:r>
            <w:r w:rsidR="00DD7109" w:rsidRPr="008B63BC">
              <w:rPr>
                <w:rFonts w:ascii="Times New Roman" w:hAnsi="Times New Roman" w:cs="Times New Roman"/>
                <w:sz w:val="20"/>
                <w:szCs w:val="20"/>
              </w:rPr>
              <w:t xml:space="preserve"> and poorly</w:t>
            </w:r>
            <w:r w:rsidR="00073A2E">
              <w:rPr>
                <w:rFonts w:ascii="Times New Roman" w:hAnsi="Times New Roman" w:cs="Times New Roman"/>
                <w:sz w:val="20"/>
                <w:szCs w:val="20"/>
              </w:rPr>
              <w:t>-</w:t>
            </w:r>
            <w:r w:rsidR="00DD7109" w:rsidRPr="008B63BC">
              <w:rPr>
                <w:rFonts w:ascii="Times New Roman" w:hAnsi="Times New Roman" w:cs="Times New Roman"/>
                <w:sz w:val="20"/>
                <w:szCs w:val="20"/>
              </w:rPr>
              <w:t>advised</w:t>
            </w:r>
          </w:p>
        </w:tc>
      </w:tr>
      <w:tr w:rsidR="004E6E60" w:rsidRPr="008B63BC" w:rsidTr="006B1A5D">
        <w:tc>
          <w:tcPr>
            <w:tcW w:w="1668" w:type="dxa"/>
          </w:tcPr>
          <w:p w:rsidR="004E6E60" w:rsidRPr="008B63BC" w:rsidRDefault="004E6E60" w:rsidP="006B1A5D">
            <w:pPr>
              <w:rPr>
                <w:rFonts w:ascii="Times New Roman" w:hAnsi="Times New Roman" w:cs="Times New Roman"/>
                <w:i/>
                <w:sz w:val="20"/>
                <w:szCs w:val="20"/>
              </w:rPr>
            </w:pPr>
            <w:r w:rsidRPr="008B63BC">
              <w:rPr>
                <w:rFonts w:ascii="Times New Roman" w:hAnsi="Times New Roman" w:cs="Times New Roman"/>
                <w:b/>
                <w:sz w:val="20"/>
                <w:szCs w:val="20"/>
              </w:rPr>
              <w:t>Application</w:t>
            </w:r>
            <w:r w:rsidRPr="008B63BC">
              <w:rPr>
                <w:rFonts w:ascii="Times New Roman" w:hAnsi="Times New Roman" w:cs="Times New Roman"/>
                <w:i/>
                <w:sz w:val="20"/>
                <w:szCs w:val="20"/>
              </w:rPr>
              <w:t xml:space="preserve"> </w:t>
            </w:r>
          </w:p>
          <w:p w:rsidR="004E6E60" w:rsidRPr="008B63BC" w:rsidRDefault="004E6E60" w:rsidP="006B1A5D">
            <w:pPr>
              <w:ind w:left="66"/>
              <w:rPr>
                <w:rFonts w:ascii="Times New Roman" w:hAnsi="Times New Roman" w:cs="Times New Roman"/>
                <w:sz w:val="20"/>
                <w:szCs w:val="20"/>
              </w:rPr>
            </w:pPr>
          </w:p>
        </w:tc>
        <w:tc>
          <w:tcPr>
            <w:tcW w:w="7796" w:type="dxa"/>
          </w:tcPr>
          <w:p w:rsidR="004E6E60"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Application process complex and difficult</w:t>
            </w:r>
          </w:p>
          <w:p w:rsidR="004E6E60" w:rsidRPr="008B63BC" w:rsidRDefault="004E6E60"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 xml:space="preserve">Fixed deadlines, </w:t>
            </w:r>
            <w:r w:rsidR="00DD7109" w:rsidRPr="008B63BC">
              <w:rPr>
                <w:rFonts w:ascii="Times New Roman" w:hAnsi="Times New Roman" w:cs="Times New Roman"/>
                <w:sz w:val="20"/>
                <w:szCs w:val="20"/>
              </w:rPr>
              <w:t>with long gaps between calls</w:t>
            </w:r>
          </w:p>
          <w:p w:rsidR="004E6E60" w:rsidRPr="008B63BC" w:rsidRDefault="004E6E60"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 xml:space="preserve">Commercial advisors </w:t>
            </w:r>
            <w:r w:rsidR="00DD7109" w:rsidRPr="008B63BC">
              <w:rPr>
                <w:rFonts w:ascii="Times New Roman" w:hAnsi="Times New Roman" w:cs="Times New Roman"/>
                <w:sz w:val="20"/>
                <w:szCs w:val="20"/>
              </w:rPr>
              <w:t>costly, discourage</w:t>
            </w:r>
            <w:r w:rsidR="00073A2E">
              <w:rPr>
                <w:rFonts w:ascii="Times New Roman" w:hAnsi="Times New Roman" w:cs="Times New Roman"/>
                <w:sz w:val="20"/>
                <w:szCs w:val="20"/>
              </w:rPr>
              <w:t>d</w:t>
            </w:r>
            <w:r w:rsidR="00DD7109" w:rsidRPr="008B63BC">
              <w:rPr>
                <w:rFonts w:ascii="Times New Roman" w:hAnsi="Times New Roman" w:cs="Times New Roman"/>
                <w:sz w:val="20"/>
                <w:szCs w:val="20"/>
              </w:rPr>
              <w:t xml:space="preserve"> small farms from applying</w:t>
            </w:r>
            <w:r w:rsidRPr="008B63BC">
              <w:rPr>
                <w:rFonts w:ascii="Times New Roman" w:hAnsi="Times New Roman" w:cs="Times New Roman"/>
                <w:sz w:val="20"/>
                <w:szCs w:val="20"/>
              </w:rPr>
              <w:t xml:space="preserve"> </w:t>
            </w:r>
          </w:p>
          <w:p w:rsidR="00DD7109" w:rsidRPr="008B63BC" w:rsidRDefault="004E6E60"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Simplistic</w:t>
            </w:r>
            <w:r w:rsidR="00073A2E">
              <w:rPr>
                <w:rFonts w:ascii="Times New Roman" w:hAnsi="Times New Roman" w:cs="Times New Roman"/>
                <w:sz w:val="20"/>
                <w:szCs w:val="20"/>
              </w:rPr>
              <w:t>,</w:t>
            </w:r>
            <w:r w:rsidRPr="008B63BC">
              <w:rPr>
                <w:rFonts w:ascii="Times New Roman" w:hAnsi="Times New Roman" w:cs="Times New Roman"/>
                <w:sz w:val="20"/>
                <w:szCs w:val="20"/>
              </w:rPr>
              <w:t xml:space="preserve"> summative scoring - inadequate for </w:t>
            </w:r>
            <w:r w:rsidR="0096539B">
              <w:rPr>
                <w:rFonts w:ascii="Times New Roman" w:hAnsi="Times New Roman" w:cs="Times New Roman"/>
                <w:sz w:val="20"/>
                <w:szCs w:val="20"/>
              </w:rPr>
              <w:t xml:space="preserve">the Managing </w:t>
            </w:r>
            <w:r w:rsidR="00CB0B3B">
              <w:rPr>
                <w:rFonts w:ascii="Times New Roman" w:hAnsi="Times New Roman" w:cs="Times New Roman"/>
                <w:sz w:val="20"/>
                <w:szCs w:val="20"/>
              </w:rPr>
              <w:t>A</w:t>
            </w:r>
            <w:r w:rsidR="0096539B">
              <w:rPr>
                <w:rFonts w:ascii="Times New Roman" w:hAnsi="Times New Roman" w:cs="Times New Roman"/>
                <w:sz w:val="20"/>
                <w:szCs w:val="20"/>
              </w:rPr>
              <w:t>uthority/Payment Agency (MA/PA)</w:t>
            </w:r>
            <w:r w:rsidRPr="008B63BC">
              <w:rPr>
                <w:rFonts w:ascii="Times New Roman" w:hAnsi="Times New Roman" w:cs="Times New Roman"/>
                <w:sz w:val="20"/>
                <w:szCs w:val="20"/>
              </w:rPr>
              <w:t xml:space="preserve"> to make sound funding decisions</w:t>
            </w:r>
            <w:r w:rsidR="007711A4">
              <w:rPr>
                <w:rFonts w:ascii="Times New Roman" w:hAnsi="Times New Roman" w:cs="Times New Roman"/>
                <w:sz w:val="20"/>
                <w:szCs w:val="20"/>
              </w:rPr>
              <w:t xml:space="preserve"> -</w:t>
            </w:r>
            <w:r w:rsidRPr="008B63BC">
              <w:rPr>
                <w:rFonts w:ascii="Times New Roman" w:hAnsi="Times New Roman" w:cs="Times New Roman"/>
                <w:sz w:val="20"/>
                <w:szCs w:val="20"/>
              </w:rPr>
              <w:t xml:space="preserve"> favour</w:t>
            </w:r>
            <w:r w:rsidR="00073A2E">
              <w:rPr>
                <w:rFonts w:ascii="Times New Roman" w:hAnsi="Times New Roman" w:cs="Times New Roman"/>
                <w:sz w:val="20"/>
                <w:szCs w:val="20"/>
              </w:rPr>
              <w:t>ed</w:t>
            </w:r>
            <w:r w:rsidRPr="008B63BC">
              <w:rPr>
                <w:rFonts w:ascii="Times New Roman" w:hAnsi="Times New Roman" w:cs="Times New Roman"/>
                <w:sz w:val="20"/>
                <w:szCs w:val="20"/>
              </w:rPr>
              <w:t xml:space="preserve"> </w:t>
            </w:r>
            <w:r w:rsidR="0096539B">
              <w:rPr>
                <w:rFonts w:ascii="Times New Roman" w:hAnsi="Times New Roman" w:cs="Times New Roman"/>
                <w:sz w:val="20"/>
                <w:szCs w:val="20"/>
              </w:rPr>
              <w:t xml:space="preserve">the </w:t>
            </w:r>
            <w:r w:rsidRPr="008B63BC">
              <w:rPr>
                <w:rFonts w:ascii="Times New Roman" w:hAnsi="Times New Roman" w:cs="Times New Roman"/>
                <w:sz w:val="20"/>
                <w:szCs w:val="20"/>
              </w:rPr>
              <w:t>biggest</w:t>
            </w:r>
            <w:r w:rsidR="00DD7109" w:rsidRPr="008B63BC">
              <w:rPr>
                <w:rFonts w:ascii="Times New Roman" w:hAnsi="Times New Roman" w:cs="Times New Roman"/>
                <w:sz w:val="20"/>
                <w:szCs w:val="20"/>
              </w:rPr>
              <w:t xml:space="preserve"> submissions</w:t>
            </w:r>
            <w:r w:rsidR="0096539B">
              <w:rPr>
                <w:rFonts w:ascii="Times New Roman" w:hAnsi="Times New Roman" w:cs="Times New Roman"/>
                <w:sz w:val="20"/>
                <w:szCs w:val="20"/>
              </w:rPr>
              <w:t xml:space="preserve"> as it maximised spend</w:t>
            </w:r>
            <w:r w:rsidR="00073A2E">
              <w:rPr>
                <w:rFonts w:ascii="Times New Roman" w:hAnsi="Times New Roman" w:cs="Times New Roman"/>
                <w:sz w:val="20"/>
                <w:szCs w:val="20"/>
              </w:rPr>
              <w:t>,</w:t>
            </w:r>
            <w:r w:rsidR="00DD7109" w:rsidRPr="008B63BC">
              <w:rPr>
                <w:rFonts w:ascii="Times New Roman" w:hAnsi="Times New Roman" w:cs="Times New Roman"/>
                <w:sz w:val="20"/>
                <w:szCs w:val="20"/>
              </w:rPr>
              <w:t xml:space="preserve"> resulting in</w:t>
            </w:r>
            <w:r w:rsidRPr="008B63BC">
              <w:rPr>
                <w:rFonts w:ascii="Times New Roman" w:hAnsi="Times New Roman" w:cs="Times New Roman"/>
                <w:sz w:val="20"/>
                <w:szCs w:val="20"/>
              </w:rPr>
              <w:t xml:space="preserve"> low additionality </w:t>
            </w:r>
          </w:p>
          <w:p w:rsidR="004E6E60" w:rsidRPr="008B63BC" w:rsidRDefault="0096539B" w:rsidP="006B1A5D">
            <w:pPr>
              <w:pStyle w:val="ListParagraph"/>
              <w:numPr>
                <w:ilvl w:val="0"/>
                <w:numId w:val="12"/>
              </w:numPr>
              <w:ind w:left="459"/>
              <w:rPr>
                <w:rFonts w:ascii="Times New Roman" w:hAnsi="Times New Roman" w:cs="Times New Roman"/>
                <w:sz w:val="20"/>
                <w:szCs w:val="20"/>
              </w:rPr>
            </w:pPr>
            <w:r>
              <w:rPr>
                <w:rFonts w:ascii="Times New Roman" w:hAnsi="Times New Roman" w:cs="Times New Roman"/>
                <w:sz w:val="20"/>
                <w:szCs w:val="20"/>
              </w:rPr>
              <w:t xml:space="preserve">Long delays </w:t>
            </w:r>
            <w:r w:rsidR="004E6E60" w:rsidRPr="008B63BC">
              <w:rPr>
                <w:rFonts w:ascii="Times New Roman" w:hAnsi="Times New Roman" w:cs="Times New Roman"/>
                <w:sz w:val="20"/>
                <w:szCs w:val="20"/>
              </w:rPr>
              <w:t>as</w:t>
            </w:r>
            <w:r>
              <w:rPr>
                <w:rFonts w:ascii="Times New Roman" w:hAnsi="Times New Roman" w:cs="Times New Roman"/>
                <w:sz w:val="20"/>
                <w:szCs w:val="20"/>
              </w:rPr>
              <w:t xml:space="preserve"> MA/PA personnel</w:t>
            </w:r>
            <w:r w:rsidR="004E6E60" w:rsidRPr="008B63BC">
              <w:rPr>
                <w:rFonts w:ascii="Times New Roman" w:hAnsi="Times New Roman" w:cs="Times New Roman"/>
                <w:sz w:val="20"/>
                <w:szCs w:val="20"/>
              </w:rPr>
              <w:t xml:space="preserve"> </w:t>
            </w:r>
            <w:r>
              <w:rPr>
                <w:rFonts w:ascii="Times New Roman" w:hAnsi="Times New Roman" w:cs="Times New Roman"/>
                <w:sz w:val="20"/>
                <w:szCs w:val="20"/>
              </w:rPr>
              <w:t xml:space="preserve">lacked capacity for </w:t>
            </w:r>
            <w:r w:rsidR="004E6E60" w:rsidRPr="008B63BC">
              <w:rPr>
                <w:rFonts w:ascii="Times New Roman" w:hAnsi="Times New Roman" w:cs="Times New Roman"/>
                <w:sz w:val="20"/>
                <w:szCs w:val="20"/>
              </w:rPr>
              <w:t>rank</w:t>
            </w:r>
            <w:r>
              <w:rPr>
                <w:rFonts w:ascii="Times New Roman" w:hAnsi="Times New Roman" w:cs="Times New Roman"/>
                <w:sz w:val="20"/>
                <w:szCs w:val="20"/>
              </w:rPr>
              <w:t>ing</w:t>
            </w:r>
            <w:r w:rsidR="004E6E60" w:rsidRPr="008B63BC">
              <w:rPr>
                <w:rFonts w:ascii="Times New Roman" w:hAnsi="Times New Roman" w:cs="Times New Roman"/>
                <w:sz w:val="20"/>
                <w:szCs w:val="20"/>
              </w:rPr>
              <w:t xml:space="preserve"> </w:t>
            </w:r>
            <w:r>
              <w:rPr>
                <w:rFonts w:ascii="Times New Roman" w:hAnsi="Times New Roman" w:cs="Times New Roman"/>
                <w:sz w:val="20"/>
                <w:szCs w:val="20"/>
              </w:rPr>
              <w:t xml:space="preserve">large numbers of </w:t>
            </w:r>
            <w:r w:rsidR="00073A2E">
              <w:rPr>
                <w:rFonts w:ascii="Times New Roman" w:hAnsi="Times New Roman" w:cs="Times New Roman"/>
                <w:sz w:val="20"/>
                <w:szCs w:val="20"/>
              </w:rPr>
              <w:t xml:space="preserve"> </w:t>
            </w:r>
            <w:r w:rsidR="00DD7109" w:rsidRPr="008B63BC">
              <w:rPr>
                <w:rFonts w:ascii="Times New Roman" w:hAnsi="Times New Roman" w:cs="Times New Roman"/>
                <w:sz w:val="20"/>
                <w:szCs w:val="20"/>
              </w:rPr>
              <w:t>applications and ma</w:t>
            </w:r>
            <w:r>
              <w:rPr>
                <w:rFonts w:ascii="Times New Roman" w:hAnsi="Times New Roman" w:cs="Times New Roman"/>
                <w:sz w:val="20"/>
                <w:szCs w:val="20"/>
              </w:rPr>
              <w:t>king</w:t>
            </w:r>
            <w:r w:rsidR="00DD7109" w:rsidRPr="008B63BC">
              <w:rPr>
                <w:rFonts w:ascii="Times New Roman" w:hAnsi="Times New Roman" w:cs="Times New Roman"/>
                <w:sz w:val="20"/>
                <w:szCs w:val="20"/>
              </w:rPr>
              <w:t xml:space="preserve">e decisions on awards </w:t>
            </w:r>
            <w:r w:rsidR="004E6E60" w:rsidRPr="008B63BC">
              <w:rPr>
                <w:rFonts w:ascii="Times New Roman" w:hAnsi="Times New Roman" w:cs="Times New Roman"/>
                <w:sz w:val="20"/>
                <w:szCs w:val="20"/>
              </w:rPr>
              <w:t xml:space="preserve">for </w:t>
            </w:r>
            <w:r w:rsidR="00073A2E">
              <w:rPr>
                <w:rFonts w:ascii="Times New Roman" w:hAnsi="Times New Roman" w:cs="Times New Roman"/>
                <w:sz w:val="20"/>
                <w:szCs w:val="20"/>
              </w:rPr>
              <w:t xml:space="preserve">the </w:t>
            </w:r>
            <w:r w:rsidR="004E6E60" w:rsidRPr="008B63BC">
              <w:rPr>
                <w:rFonts w:ascii="Times New Roman" w:hAnsi="Times New Roman" w:cs="Times New Roman"/>
                <w:sz w:val="20"/>
                <w:szCs w:val="20"/>
              </w:rPr>
              <w:t>mos</w:t>
            </w:r>
            <w:r w:rsidR="00DD7109" w:rsidRPr="008B63BC">
              <w:rPr>
                <w:rFonts w:ascii="Times New Roman" w:hAnsi="Times New Roman" w:cs="Times New Roman"/>
                <w:sz w:val="20"/>
                <w:szCs w:val="20"/>
              </w:rPr>
              <w:t>t popular measures</w:t>
            </w:r>
            <w:r w:rsidR="00073A2E">
              <w:rPr>
                <w:rFonts w:ascii="Times New Roman" w:hAnsi="Times New Roman" w:cs="Times New Roman"/>
                <w:sz w:val="20"/>
                <w:szCs w:val="20"/>
              </w:rPr>
              <w:t xml:space="preserve"> (insufficient criteria to distinguish applications – many scored the same)</w:t>
            </w:r>
          </w:p>
          <w:p w:rsidR="004E6E60"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F</w:t>
            </w:r>
            <w:r w:rsidR="004E6E60" w:rsidRPr="008B63BC">
              <w:rPr>
                <w:rFonts w:ascii="Times New Roman" w:hAnsi="Times New Roman" w:cs="Times New Roman"/>
                <w:sz w:val="20"/>
                <w:szCs w:val="20"/>
              </w:rPr>
              <w:t>rustrated farmers invest</w:t>
            </w:r>
            <w:r w:rsidR="00073A2E">
              <w:rPr>
                <w:rFonts w:ascii="Times New Roman" w:hAnsi="Times New Roman" w:cs="Times New Roman"/>
                <w:sz w:val="20"/>
                <w:szCs w:val="20"/>
              </w:rPr>
              <w:t>ed</w:t>
            </w:r>
            <w:r w:rsidR="004E6E60" w:rsidRPr="008B63BC">
              <w:rPr>
                <w:rFonts w:ascii="Times New Roman" w:hAnsi="Times New Roman" w:cs="Times New Roman"/>
                <w:sz w:val="20"/>
                <w:szCs w:val="20"/>
              </w:rPr>
              <w:t xml:space="preserve"> before </w:t>
            </w:r>
            <w:r w:rsidR="007711A4">
              <w:rPr>
                <w:rFonts w:ascii="Times New Roman" w:hAnsi="Times New Roman" w:cs="Times New Roman"/>
                <w:sz w:val="20"/>
                <w:szCs w:val="20"/>
              </w:rPr>
              <w:t xml:space="preserve">funding </w:t>
            </w:r>
            <w:r w:rsidR="004E6E60" w:rsidRPr="008B63BC">
              <w:rPr>
                <w:rFonts w:ascii="Times New Roman" w:hAnsi="Times New Roman" w:cs="Times New Roman"/>
                <w:sz w:val="20"/>
                <w:szCs w:val="20"/>
              </w:rPr>
              <w:t xml:space="preserve">decisions </w:t>
            </w:r>
            <w:r w:rsidR="00073A2E">
              <w:rPr>
                <w:rFonts w:ascii="Times New Roman" w:hAnsi="Times New Roman" w:cs="Times New Roman"/>
                <w:sz w:val="20"/>
                <w:szCs w:val="20"/>
              </w:rPr>
              <w:t xml:space="preserve">were </w:t>
            </w:r>
            <w:r w:rsidR="004E6E60" w:rsidRPr="008B63BC">
              <w:rPr>
                <w:rFonts w:ascii="Times New Roman" w:hAnsi="Times New Roman" w:cs="Times New Roman"/>
                <w:sz w:val="20"/>
                <w:szCs w:val="20"/>
              </w:rPr>
              <w:t>made</w:t>
            </w:r>
            <w:r w:rsidRPr="008B63BC">
              <w:rPr>
                <w:rFonts w:ascii="Times New Roman" w:hAnsi="Times New Roman" w:cs="Times New Roman"/>
                <w:sz w:val="20"/>
                <w:szCs w:val="20"/>
              </w:rPr>
              <w:t xml:space="preserve"> and then los</w:t>
            </w:r>
            <w:r w:rsidR="00073A2E">
              <w:rPr>
                <w:rFonts w:ascii="Times New Roman" w:hAnsi="Times New Roman" w:cs="Times New Roman"/>
                <w:sz w:val="20"/>
                <w:szCs w:val="20"/>
              </w:rPr>
              <w:t>t</w:t>
            </w:r>
            <w:r w:rsidRPr="008B63BC">
              <w:rPr>
                <w:rFonts w:ascii="Times New Roman" w:hAnsi="Times New Roman" w:cs="Times New Roman"/>
                <w:sz w:val="20"/>
                <w:szCs w:val="20"/>
              </w:rPr>
              <w:t xml:space="preserve"> out when not successful</w:t>
            </w:r>
            <w:r w:rsidR="007711A4">
              <w:rPr>
                <w:rFonts w:ascii="Times New Roman" w:hAnsi="Times New Roman" w:cs="Times New Roman"/>
                <w:sz w:val="20"/>
                <w:szCs w:val="20"/>
              </w:rPr>
              <w:t>: this led to protracted complaints over a long period.</w:t>
            </w:r>
          </w:p>
        </w:tc>
      </w:tr>
      <w:tr w:rsidR="004E6E60" w:rsidRPr="008B63BC" w:rsidTr="006B1A5D">
        <w:tc>
          <w:tcPr>
            <w:tcW w:w="1668" w:type="dxa"/>
          </w:tcPr>
          <w:p w:rsidR="004E6E60" w:rsidRPr="008B63BC" w:rsidRDefault="004E6E60" w:rsidP="006B1A5D">
            <w:pPr>
              <w:ind w:left="66"/>
              <w:rPr>
                <w:rFonts w:ascii="Times New Roman" w:hAnsi="Times New Roman" w:cs="Times New Roman"/>
                <w:sz w:val="20"/>
                <w:szCs w:val="20"/>
              </w:rPr>
            </w:pPr>
            <w:r w:rsidRPr="008B63BC">
              <w:rPr>
                <w:rFonts w:ascii="Times New Roman" w:hAnsi="Times New Roman" w:cs="Times New Roman"/>
                <w:b/>
                <w:sz w:val="20"/>
                <w:szCs w:val="20"/>
              </w:rPr>
              <w:t>Negotiating contracts</w:t>
            </w:r>
            <w:r w:rsidRPr="008B63BC">
              <w:rPr>
                <w:rFonts w:ascii="Times New Roman" w:hAnsi="Times New Roman" w:cs="Times New Roman"/>
                <w:b/>
                <w:sz w:val="20"/>
                <w:szCs w:val="20"/>
              </w:rPr>
              <w:tab/>
            </w:r>
            <w:r w:rsidRPr="008B63BC">
              <w:rPr>
                <w:rFonts w:ascii="Times New Roman" w:hAnsi="Times New Roman" w:cs="Times New Roman"/>
                <w:b/>
                <w:sz w:val="20"/>
                <w:szCs w:val="20"/>
              </w:rPr>
              <w:tab/>
            </w:r>
            <w:r w:rsidRPr="008B63BC">
              <w:rPr>
                <w:rFonts w:ascii="Times New Roman" w:hAnsi="Times New Roman" w:cs="Times New Roman"/>
                <w:b/>
                <w:sz w:val="20"/>
                <w:szCs w:val="20"/>
              </w:rPr>
              <w:tab/>
            </w:r>
          </w:p>
        </w:tc>
        <w:tc>
          <w:tcPr>
            <w:tcW w:w="7796" w:type="dxa"/>
          </w:tcPr>
          <w:p w:rsidR="004E6E60"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C</w:t>
            </w:r>
            <w:r w:rsidR="004E6E60" w:rsidRPr="008B63BC">
              <w:rPr>
                <w:rFonts w:ascii="Times New Roman" w:hAnsi="Times New Roman" w:cs="Times New Roman"/>
                <w:sz w:val="20"/>
                <w:szCs w:val="20"/>
              </w:rPr>
              <w:t>onflicting policy goals stall</w:t>
            </w:r>
            <w:r w:rsidR="007711A4">
              <w:rPr>
                <w:rFonts w:ascii="Times New Roman" w:hAnsi="Times New Roman" w:cs="Times New Roman"/>
                <w:sz w:val="20"/>
                <w:szCs w:val="20"/>
              </w:rPr>
              <w:t>ed</w:t>
            </w:r>
            <w:r w:rsidR="004E6E60" w:rsidRPr="008B63BC">
              <w:rPr>
                <w:rFonts w:ascii="Times New Roman" w:hAnsi="Times New Roman" w:cs="Times New Roman"/>
                <w:sz w:val="20"/>
                <w:szCs w:val="20"/>
              </w:rPr>
              <w:t xml:space="preserve"> </w:t>
            </w:r>
            <w:r w:rsidR="00073A2E">
              <w:rPr>
                <w:rFonts w:ascii="Times New Roman" w:hAnsi="Times New Roman" w:cs="Times New Roman"/>
                <w:sz w:val="20"/>
                <w:szCs w:val="20"/>
              </w:rPr>
              <w:t xml:space="preserve">those </w:t>
            </w:r>
            <w:r w:rsidR="004E6E60" w:rsidRPr="008B63BC">
              <w:rPr>
                <w:rFonts w:ascii="Times New Roman" w:hAnsi="Times New Roman" w:cs="Times New Roman"/>
                <w:sz w:val="20"/>
                <w:szCs w:val="20"/>
              </w:rPr>
              <w:t>proce</w:t>
            </w:r>
            <w:r w:rsidRPr="008B63BC">
              <w:rPr>
                <w:rFonts w:ascii="Times New Roman" w:hAnsi="Times New Roman" w:cs="Times New Roman"/>
                <w:sz w:val="20"/>
                <w:szCs w:val="20"/>
              </w:rPr>
              <w:t>sses</w:t>
            </w:r>
            <w:r w:rsidR="00073A2E">
              <w:rPr>
                <w:rFonts w:ascii="Times New Roman" w:hAnsi="Times New Roman" w:cs="Times New Roman"/>
                <w:sz w:val="20"/>
                <w:szCs w:val="20"/>
              </w:rPr>
              <w:t xml:space="preserve"> that were</w:t>
            </w:r>
            <w:r w:rsidRPr="008B63BC">
              <w:rPr>
                <w:rFonts w:ascii="Times New Roman" w:hAnsi="Times New Roman" w:cs="Times New Roman"/>
                <w:sz w:val="20"/>
                <w:szCs w:val="20"/>
              </w:rPr>
              <w:t xml:space="preserve"> dependent upon permits and permissions</w:t>
            </w:r>
            <w:r w:rsidR="00073A2E">
              <w:rPr>
                <w:rFonts w:ascii="Times New Roman" w:hAnsi="Times New Roman" w:cs="Times New Roman"/>
                <w:sz w:val="20"/>
                <w:szCs w:val="20"/>
              </w:rPr>
              <w:t xml:space="preserve"> from other government departments and agencies</w:t>
            </w:r>
            <w:r w:rsidR="004E6E60" w:rsidRPr="008B63BC">
              <w:rPr>
                <w:rFonts w:ascii="Times New Roman" w:hAnsi="Times New Roman" w:cs="Times New Roman"/>
                <w:sz w:val="20"/>
                <w:szCs w:val="20"/>
              </w:rPr>
              <w:t xml:space="preserve"> </w:t>
            </w:r>
          </w:p>
          <w:p w:rsidR="004E6E60"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Opaque decision-making regarding grant awards</w:t>
            </w:r>
          </w:p>
          <w:p w:rsidR="004E6E60"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L</w:t>
            </w:r>
            <w:r w:rsidR="004E6E60" w:rsidRPr="008B63BC">
              <w:rPr>
                <w:rFonts w:ascii="Times New Roman" w:hAnsi="Times New Roman" w:cs="Times New Roman"/>
                <w:sz w:val="20"/>
                <w:szCs w:val="20"/>
              </w:rPr>
              <w:t xml:space="preserve">ow trust of MA/PA by </w:t>
            </w:r>
            <w:r w:rsidRPr="008B63BC">
              <w:rPr>
                <w:rFonts w:ascii="Times New Roman" w:hAnsi="Times New Roman" w:cs="Times New Roman"/>
                <w:sz w:val="20"/>
                <w:szCs w:val="20"/>
              </w:rPr>
              <w:t xml:space="preserve">potential </w:t>
            </w:r>
            <w:r w:rsidR="004E6E60" w:rsidRPr="008B63BC">
              <w:rPr>
                <w:rFonts w:ascii="Times New Roman" w:hAnsi="Times New Roman" w:cs="Times New Roman"/>
                <w:sz w:val="20"/>
                <w:szCs w:val="20"/>
              </w:rPr>
              <w:t>beneficiaries and rest of government</w:t>
            </w:r>
          </w:p>
        </w:tc>
      </w:tr>
      <w:tr w:rsidR="004E6E60" w:rsidRPr="008B63BC" w:rsidTr="006B1A5D">
        <w:trPr>
          <w:trHeight w:val="906"/>
        </w:trPr>
        <w:tc>
          <w:tcPr>
            <w:tcW w:w="1668" w:type="dxa"/>
          </w:tcPr>
          <w:p w:rsidR="004E6E60" w:rsidRPr="008B63BC" w:rsidRDefault="004E6E60" w:rsidP="006B1A5D">
            <w:pPr>
              <w:ind w:left="66"/>
              <w:rPr>
                <w:rFonts w:ascii="Times New Roman" w:hAnsi="Times New Roman" w:cs="Times New Roman"/>
                <w:b/>
                <w:sz w:val="20"/>
                <w:szCs w:val="20"/>
              </w:rPr>
            </w:pPr>
            <w:r w:rsidRPr="008B63BC">
              <w:rPr>
                <w:rFonts w:ascii="Times New Roman" w:hAnsi="Times New Roman" w:cs="Times New Roman"/>
                <w:b/>
                <w:sz w:val="20"/>
                <w:szCs w:val="20"/>
              </w:rPr>
              <w:t xml:space="preserve">Management </w:t>
            </w:r>
          </w:p>
        </w:tc>
        <w:tc>
          <w:tcPr>
            <w:tcW w:w="7796" w:type="dxa"/>
          </w:tcPr>
          <w:p w:rsidR="004E6E60"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Limited number of delivery personnel, overloaded with casework</w:t>
            </w:r>
            <w:r w:rsidR="004E6E60" w:rsidRPr="008B63BC">
              <w:rPr>
                <w:rFonts w:ascii="Times New Roman" w:hAnsi="Times New Roman" w:cs="Times New Roman"/>
                <w:sz w:val="20"/>
                <w:szCs w:val="20"/>
              </w:rPr>
              <w:t xml:space="preserve"> </w:t>
            </w:r>
          </w:p>
          <w:p w:rsidR="003657FD" w:rsidRPr="008B63BC" w:rsidRDefault="003657FD"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Weak or absent inter-agency support for RDP actions</w:t>
            </w:r>
          </w:p>
          <w:p w:rsidR="0080317D"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Limited skills &amp; experience</w:t>
            </w:r>
            <w:r w:rsidR="0080317D" w:rsidRPr="008B63BC">
              <w:rPr>
                <w:rFonts w:ascii="Times New Roman" w:hAnsi="Times New Roman" w:cs="Times New Roman"/>
                <w:sz w:val="20"/>
                <w:szCs w:val="20"/>
              </w:rPr>
              <w:t xml:space="preserve">; </w:t>
            </w:r>
            <w:r w:rsidR="00073A2E">
              <w:rPr>
                <w:rFonts w:ascii="Times New Roman" w:hAnsi="Times New Roman" w:cs="Times New Roman"/>
                <w:sz w:val="20"/>
                <w:szCs w:val="20"/>
              </w:rPr>
              <w:t>n</w:t>
            </w:r>
            <w:r w:rsidR="0080317D" w:rsidRPr="008B63BC">
              <w:rPr>
                <w:rFonts w:ascii="Times New Roman" w:hAnsi="Times New Roman" w:cs="Times New Roman"/>
                <w:sz w:val="20"/>
                <w:szCs w:val="20"/>
              </w:rPr>
              <w:t>o-one reflect</w:t>
            </w:r>
            <w:r w:rsidR="00073A2E">
              <w:rPr>
                <w:rFonts w:ascii="Times New Roman" w:hAnsi="Times New Roman" w:cs="Times New Roman"/>
                <w:sz w:val="20"/>
                <w:szCs w:val="20"/>
              </w:rPr>
              <w:t>ed</w:t>
            </w:r>
            <w:r w:rsidR="0080317D" w:rsidRPr="008B63BC">
              <w:rPr>
                <w:rFonts w:ascii="Times New Roman" w:hAnsi="Times New Roman" w:cs="Times New Roman"/>
                <w:sz w:val="20"/>
                <w:szCs w:val="20"/>
              </w:rPr>
              <w:t xml:space="preserve"> or initiate</w:t>
            </w:r>
            <w:r w:rsidR="00073A2E">
              <w:rPr>
                <w:rFonts w:ascii="Times New Roman" w:hAnsi="Times New Roman" w:cs="Times New Roman"/>
                <w:sz w:val="20"/>
                <w:szCs w:val="20"/>
              </w:rPr>
              <w:t>d</w:t>
            </w:r>
            <w:r w:rsidR="0080317D" w:rsidRPr="008B63BC">
              <w:rPr>
                <w:rFonts w:ascii="Times New Roman" w:hAnsi="Times New Roman" w:cs="Times New Roman"/>
                <w:sz w:val="20"/>
                <w:szCs w:val="20"/>
              </w:rPr>
              <w:t xml:space="preserve"> improvement </w:t>
            </w:r>
          </w:p>
          <w:p w:rsidR="004E6E60" w:rsidRPr="008B63BC" w:rsidRDefault="004E6E60"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 xml:space="preserve">Slow initial spend, then rushed spend in final years, with weakened targeting and </w:t>
            </w:r>
            <w:r w:rsidR="007711A4">
              <w:rPr>
                <w:rFonts w:ascii="Times New Roman" w:hAnsi="Times New Roman" w:cs="Times New Roman"/>
                <w:sz w:val="20"/>
                <w:szCs w:val="20"/>
              </w:rPr>
              <w:t xml:space="preserve">low </w:t>
            </w:r>
            <w:r w:rsidRPr="008B63BC">
              <w:rPr>
                <w:rFonts w:ascii="Times New Roman" w:hAnsi="Times New Roman" w:cs="Times New Roman"/>
                <w:sz w:val="20"/>
                <w:szCs w:val="20"/>
              </w:rPr>
              <w:t>additionality</w:t>
            </w:r>
            <w:r w:rsidR="00073A2E">
              <w:rPr>
                <w:rFonts w:ascii="Times New Roman" w:hAnsi="Times New Roman" w:cs="Times New Roman"/>
                <w:sz w:val="20"/>
                <w:szCs w:val="20"/>
              </w:rPr>
              <w:t xml:space="preserve"> at that time</w:t>
            </w:r>
            <w:r w:rsidRPr="008B63BC">
              <w:rPr>
                <w:rFonts w:ascii="Times New Roman" w:hAnsi="Times New Roman" w:cs="Times New Roman"/>
                <w:sz w:val="20"/>
                <w:szCs w:val="20"/>
              </w:rPr>
              <w:t xml:space="preserve"> </w:t>
            </w:r>
          </w:p>
          <w:p w:rsidR="004E6E60" w:rsidRPr="008B63BC" w:rsidRDefault="004E6E60"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No strategic decisions</w:t>
            </w:r>
            <w:r w:rsidR="00073A2E">
              <w:rPr>
                <w:rFonts w:ascii="Times New Roman" w:hAnsi="Times New Roman" w:cs="Times New Roman"/>
                <w:sz w:val="20"/>
                <w:szCs w:val="20"/>
              </w:rPr>
              <w:t xml:space="preserve"> made about how to manage demand more effectively</w:t>
            </w:r>
          </w:p>
        </w:tc>
      </w:tr>
      <w:tr w:rsidR="004E6E60" w:rsidRPr="008B63BC" w:rsidTr="006B1A5D">
        <w:trPr>
          <w:trHeight w:val="605"/>
        </w:trPr>
        <w:tc>
          <w:tcPr>
            <w:tcW w:w="1668" w:type="dxa"/>
          </w:tcPr>
          <w:p w:rsidR="004E6E60" w:rsidRPr="008B63BC" w:rsidRDefault="004E6E60" w:rsidP="006B1A5D">
            <w:pPr>
              <w:ind w:left="66"/>
              <w:rPr>
                <w:rFonts w:ascii="Times New Roman" w:hAnsi="Times New Roman" w:cs="Times New Roman"/>
                <w:b/>
                <w:sz w:val="20"/>
                <w:szCs w:val="20"/>
              </w:rPr>
            </w:pPr>
            <w:r w:rsidRPr="008B63BC">
              <w:rPr>
                <w:rFonts w:ascii="Times New Roman" w:hAnsi="Times New Roman" w:cs="Times New Roman"/>
                <w:b/>
                <w:sz w:val="20"/>
                <w:szCs w:val="20"/>
              </w:rPr>
              <w:t>Monitoring &amp; evaluation</w:t>
            </w:r>
          </w:p>
        </w:tc>
        <w:tc>
          <w:tcPr>
            <w:tcW w:w="7796" w:type="dxa"/>
          </w:tcPr>
          <w:p w:rsidR="004E6E60" w:rsidRPr="008B63BC" w:rsidRDefault="004E6E60"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 xml:space="preserve">Limited </w:t>
            </w:r>
            <w:r w:rsidR="00DD7109" w:rsidRPr="008B63BC">
              <w:rPr>
                <w:rFonts w:ascii="Times New Roman" w:hAnsi="Times New Roman" w:cs="Times New Roman"/>
                <w:sz w:val="20"/>
                <w:szCs w:val="20"/>
              </w:rPr>
              <w:t>monitoring: inadequate feedback</w:t>
            </w:r>
            <w:r w:rsidRPr="008B63BC">
              <w:rPr>
                <w:rFonts w:ascii="Times New Roman" w:hAnsi="Times New Roman" w:cs="Times New Roman"/>
                <w:sz w:val="20"/>
                <w:szCs w:val="20"/>
              </w:rPr>
              <w:t xml:space="preserve"> </w:t>
            </w:r>
          </w:p>
          <w:p w:rsidR="004E6E60"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P</w:t>
            </w:r>
            <w:r w:rsidR="004E6E60" w:rsidRPr="008B63BC">
              <w:rPr>
                <w:rFonts w:ascii="Times New Roman" w:hAnsi="Times New Roman" w:cs="Times New Roman"/>
                <w:sz w:val="20"/>
                <w:szCs w:val="20"/>
              </w:rPr>
              <w:t xml:space="preserve">oor quality data </w:t>
            </w:r>
            <w:r w:rsidR="00073A2E">
              <w:rPr>
                <w:rFonts w:ascii="Times New Roman" w:hAnsi="Times New Roman" w:cs="Times New Roman"/>
                <w:sz w:val="20"/>
                <w:szCs w:val="20"/>
              </w:rPr>
              <w:t xml:space="preserve">has </w:t>
            </w:r>
            <w:r w:rsidR="004E6E60" w:rsidRPr="008B63BC">
              <w:rPr>
                <w:rFonts w:ascii="Times New Roman" w:hAnsi="Times New Roman" w:cs="Times New Roman"/>
                <w:sz w:val="20"/>
                <w:szCs w:val="20"/>
              </w:rPr>
              <w:t>bre</w:t>
            </w:r>
            <w:r w:rsidRPr="008B63BC">
              <w:rPr>
                <w:rFonts w:ascii="Times New Roman" w:hAnsi="Times New Roman" w:cs="Times New Roman"/>
                <w:sz w:val="20"/>
                <w:szCs w:val="20"/>
              </w:rPr>
              <w:t xml:space="preserve">d mistrust in </w:t>
            </w:r>
            <w:r w:rsidR="007711A4">
              <w:rPr>
                <w:rFonts w:ascii="Times New Roman" w:hAnsi="Times New Roman" w:cs="Times New Roman"/>
                <w:sz w:val="20"/>
                <w:szCs w:val="20"/>
              </w:rPr>
              <w:t xml:space="preserve">the </w:t>
            </w:r>
            <w:r w:rsidRPr="008B63BC">
              <w:rPr>
                <w:rFonts w:ascii="Times New Roman" w:hAnsi="Times New Roman" w:cs="Times New Roman"/>
                <w:sz w:val="20"/>
                <w:szCs w:val="20"/>
              </w:rPr>
              <w:t>system</w:t>
            </w:r>
            <w:r w:rsidR="007711A4">
              <w:rPr>
                <w:rFonts w:ascii="Times New Roman" w:hAnsi="Times New Roman" w:cs="Times New Roman"/>
                <w:sz w:val="20"/>
                <w:szCs w:val="20"/>
              </w:rPr>
              <w:t>’s</w:t>
            </w:r>
            <w:r w:rsidRPr="008B63BC">
              <w:rPr>
                <w:rFonts w:ascii="Times New Roman" w:hAnsi="Times New Roman" w:cs="Times New Roman"/>
                <w:sz w:val="20"/>
                <w:szCs w:val="20"/>
              </w:rPr>
              <w:t xml:space="preserve"> fairness</w:t>
            </w:r>
          </w:p>
          <w:p w:rsidR="004E6E60" w:rsidRPr="008B63BC" w:rsidRDefault="00DD7109"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N</w:t>
            </w:r>
            <w:r w:rsidR="004E6E60" w:rsidRPr="008B63BC">
              <w:rPr>
                <w:rFonts w:ascii="Times New Roman" w:hAnsi="Times New Roman" w:cs="Times New Roman"/>
                <w:sz w:val="20"/>
                <w:szCs w:val="20"/>
              </w:rPr>
              <w:t xml:space="preserve">o </w:t>
            </w:r>
            <w:r w:rsidRPr="008B63BC">
              <w:rPr>
                <w:rFonts w:ascii="Times New Roman" w:hAnsi="Times New Roman" w:cs="Times New Roman"/>
                <w:sz w:val="20"/>
                <w:szCs w:val="20"/>
              </w:rPr>
              <w:t>‘</w:t>
            </w:r>
            <w:r w:rsidR="004E6E60" w:rsidRPr="008B63BC">
              <w:rPr>
                <w:rFonts w:ascii="Times New Roman" w:hAnsi="Times New Roman" w:cs="Times New Roman"/>
                <w:sz w:val="20"/>
                <w:szCs w:val="20"/>
              </w:rPr>
              <w:t>ownership</w:t>
            </w:r>
            <w:r w:rsidRPr="008B63BC">
              <w:rPr>
                <w:rFonts w:ascii="Times New Roman" w:hAnsi="Times New Roman" w:cs="Times New Roman"/>
                <w:sz w:val="20"/>
                <w:szCs w:val="20"/>
              </w:rPr>
              <w:t>’ of the process</w:t>
            </w:r>
            <w:r w:rsidR="00073A2E">
              <w:rPr>
                <w:rFonts w:ascii="Times New Roman" w:hAnsi="Times New Roman" w:cs="Times New Roman"/>
                <w:sz w:val="20"/>
                <w:szCs w:val="20"/>
              </w:rPr>
              <w:t xml:space="preserve"> by stakeholders</w:t>
            </w:r>
          </w:p>
        </w:tc>
      </w:tr>
      <w:tr w:rsidR="004E6E60" w:rsidRPr="008B63BC" w:rsidTr="006B1A5D">
        <w:tc>
          <w:tcPr>
            <w:tcW w:w="1668" w:type="dxa"/>
          </w:tcPr>
          <w:p w:rsidR="004E6E60" w:rsidRPr="008B63BC" w:rsidRDefault="004E6E60" w:rsidP="006B1A5D">
            <w:pPr>
              <w:ind w:left="66"/>
              <w:rPr>
                <w:rFonts w:ascii="Times New Roman" w:hAnsi="Times New Roman" w:cs="Times New Roman"/>
                <w:b/>
                <w:sz w:val="20"/>
                <w:szCs w:val="20"/>
              </w:rPr>
            </w:pPr>
            <w:r w:rsidRPr="008B63BC">
              <w:rPr>
                <w:rFonts w:ascii="Times New Roman" w:hAnsi="Times New Roman" w:cs="Times New Roman"/>
                <w:b/>
                <w:sz w:val="20"/>
                <w:szCs w:val="20"/>
              </w:rPr>
              <w:t>Compliance</w:t>
            </w:r>
          </w:p>
        </w:tc>
        <w:tc>
          <w:tcPr>
            <w:tcW w:w="7796" w:type="dxa"/>
          </w:tcPr>
          <w:p w:rsidR="004E6E60" w:rsidRPr="008B63BC" w:rsidRDefault="004E6E60"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Limited checks</w:t>
            </w:r>
            <w:r w:rsidR="00DD7109" w:rsidRPr="008B63BC">
              <w:rPr>
                <w:rFonts w:ascii="Times New Roman" w:hAnsi="Times New Roman" w:cs="Times New Roman"/>
                <w:sz w:val="20"/>
                <w:szCs w:val="20"/>
              </w:rPr>
              <w:t xml:space="preserve">, </w:t>
            </w:r>
            <w:r w:rsidR="00073A2E">
              <w:rPr>
                <w:rFonts w:ascii="Times New Roman" w:hAnsi="Times New Roman" w:cs="Times New Roman"/>
                <w:sz w:val="20"/>
                <w:szCs w:val="20"/>
              </w:rPr>
              <w:t xml:space="preserve">but </w:t>
            </w:r>
            <w:r w:rsidR="00DD7109" w:rsidRPr="008B63BC">
              <w:rPr>
                <w:rFonts w:ascii="Times New Roman" w:hAnsi="Times New Roman" w:cs="Times New Roman"/>
                <w:sz w:val="20"/>
                <w:szCs w:val="20"/>
              </w:rPr>
              <w:t>some inappropriate investment</w:t>
            </w:r>
            <w:r w:rsidR="00073A2E">
              <w:rPr>
                <w:rFonts w:ascii="Times New Roman" w:hAnsi="Times New Roman" w:cs="Times New Roman"/>
                <w:sz w:val="20"/>
                <w:szCs w:val="20"/>
              </w:rPr>
              <w:t>s detected</w:t>
            </w:r>
            <w:r w:rsidR="003657FD">
              <w:rPr>
                <w:rFonts w:ascii="Times New Roman" w:hAnsi="Times New Roman" w:cs="Times New Roman"/>
                <w:sz w:val="20"/>
                <w:szCs w:val="20"/>
              </w:rPr>
              <w:t xml:space="preserve"> (i.e. funding not invested according to the </w:t>
            </w:r>
            <w:r w:rsidR="007711A4">
              <w:rPr>
                <w:rFonts w:ascii="Times New Roman" w:hAnsi="Times New Roman" w:cs="Times New Roman"/>
                <w:sz w:val="20"/>
                <w:szCs w:val="20"/>
              </w:rPr>
              <w:t xml:space="preserve">terms of the </w:t>
            </w:r>
            <w:r w:rsidR="003657FD">
              <w:rPr>
                <w:rFonts w:ascii="Times New Roman" w:hAnsi="Times New Roman" w:cs="Times New Roman"/>
                <w:sz w:val="20"/>
                <w:szCs w:val="20"/>
              </w:rPr>
              <w:t xml:space="preserve">contract) </w:t>
            </w:r>
          </w:p>
          <w:p w:rsidR="004E6E60" w:rsidRPr="008B63BC" w:rsidRDefault="004E6E60" w:rsidP="006B1A5D">
            <w:pPr>
              <w:pStyle w:val="ListParagraph"/>
              <w:numPr>
                <w:ilvl w:val="0"/>
                <w:numId w:val="12"/>
              </w:numPr>
              <w:ind w:left="459"/>
              <w:rPr>
                <w:rFonts w:ascii="Times New Roman" w:hAnsi="Times New Roman" w:cs="Times New Roman"/>
                <w:sz w:val="20"/>
                <w:szCs w:val="20"/>
              </w:rPr>
            </w:pPr>
            <w:r w:rsidRPr="008B63BC">
              <w:rPr>
                <w:rFonts w:ascii="Times New Roman" w:hAnsi="Times New Roman" w:cs="Times New Roman"/>
                <w:sz w:val="20"/>
                <w:szCs w:val="20"/>
              </w:rPr>
              <w:t xml:space="preserve">Guidance notes </w:t>
            </w:r>
            <w:r w:rsidR="00073A2E">
              <w:rPr>
                <w:rFonts w:ascii="Times New Roman" w:hAnsi="Times New Roman" w:cs="Times New Roman"/>
                <w:sz w:val="20"/>
                <w:szCs w:val="20"/>
              </w:rPr>
              <w:t xml:space="preserve">produced </w:t>
            </w:r>
            <w:r w:rsidRPr="008B63BC">
              <w:rPr>
                <w:rFonts w:ascii="Times New Roman" w:hAnsi="Times New Roman" w:cs="Times New Roman"/>
                <w:sz w:val="20"/>
                <w:szCs w:val="20"/>
              </w:rPr>
              <w:t xml:space="preserve">in complex, inaccessible language </w:t>
            </w:r>
          </w:p>
          <w:p w:rsidR="000A661D" w:rsidRPr="008B63BC" w:rsidRDefault="00073A2E" w:rsidP="006B1A5D">
            <w:pPr>
              <w:pStyle w:val="ListParagraph"/>
              <w:numPr>
                <w:ilvl w:val="0"/>
                <w:numId w:val="12"/>
              </w:numPr>
              <w:ind w:left="459"/>
              <w:rPr>
                <w:rFonts w:ascii="Times New Roman" w:hAnsi="Times New Roman" w:cs="Times New Roman"/>
                <w:sz w:val="20"/>
                <w:szCs w:val="20"/>
              </w:rPr>
            </w:pPr>
            <w:r>
              <w:rPr>
                <w:rFonts w:ascii="Times New Roman" w:hAnsi="Times New Roman" w:cs="Times New Roman"/>
                <w:sz w:val="20"/>
                <w:szCs w:val="20"/>
              </w:rPr>
              <w:t>L</w:t>
            </w:r>
            <w:r w:rsidR="000A661D" w:rsidRPr="008B63BC">
              <w:rPr>
                <w:rFonts w:ascii="Times New Roman" w:hAnsi="Times New Roman" w:cs="Times New Roman"/>
                <w:sz w:val="20"/>
                <w:szCs w:val="20"/>
              </w:rPr>
              <w:t>ow levels of</w:t>
            </w:r>
            <w:r w:rsidR="004E6E60" w:rsidRPr="008B63BC">
              <w:rPr>
                <w:rFonts w:ascii="Times New Roman" w:hAnsi="Times New Roman" w:cs="Times New Roman"/>
                <w:sz w:val="20"/>
                <w:szCs w:val="20"/>
              </w:rPr>
              <w:t xml:space="preserve"> compliance</w:t>
            </w:r>
            <w:r>
              <w:rPr>
                <w:rFonts w:ascii="Times New Roman" w:hAnsi="Times New Roman" w:cs="Times New Roman"/>
                <w:sz w:val="20"/>
                <w:szCs w:val="20"/>
              </w:rPr>
              <w:t xml:space="preserve"> with </w:t>
            </w:r>
            <w:r w:rsidR="007711A4">
              <w:rPr>
                <w:rFonts w:ascii="Times New Roman" w:hAnsi="Times New Roman" w:cs="Times New Roman"/>
                <w:sz w:val="20"/>
                <w:szCs w:val="20"/>
              </w:rPr>
              <w:t xml:space="preserve">other </w:t>
            </w:r>
            <w:r>
              <w:rPr>
                <w:rFonts w:ascii="Times New Roman" w:hAnsi="Times New Roman" w:cs="Times New Roman"/>
                <w:sz w:val="20"/>
                <w:szCs w:val="20"/>
              </w:rPr>
              <w:t>grant conditions</w:t>
            </w:r>
          </w:p>
        </w:tc>
      </w:tr>
    </w:tbl>
    <w:p w:rsidR="008F0566" w:rsidRDefault="008F0566" w:rsidP="008F0566">
      <w:pPr>
        <w:spacing w:after="0" w:line="360" w:lineRule="auto"/>
        <w:ind w:left="58"/>
        <w:jc w:val="both"/>
        <w:rPr>
          <w:rFonts w:ascii="Times New Roman" w:hAnsi="Times New Roman" w:cs="Times New Roman"/>
          <w:sz w:val="24"/>
          <w:szCs w:val="24"/>
        </w:rPr>
      </w:pPr>
    </w:p>
    <w:p w:rsidR="00137E85" w:rsidRDefault="00137E85" w:rsidP="00137E85">
      <w:pPr>
        <w:spacing w:after="0" w:line="360" w:lineRule="auto"/>
        <w:ind w:left="58"/>
        <w:jc w:val="both"/>
        <w:rPr>
          <w:rFonts w:ascii="Times New Roman" w:hAnsi="Times New Roman" w:cs="Times New Roman"/>
          <w:sz w:val="24"/>
          <w:szCs w:val="24"/>
        </w:rPr>
      </w:pPr>
    </w:p>
    <w:p w:rsidR="00137E85" w:rsidRPr="00137E85" w:rsidRDefault="00137E85" w:rsidP="00137E85">
      <w:pPr>
        <w:spacing w:after="0" w:line="360" w:lineRule="auto"/>
        <w:ind w:left="58"/>
        <w:jc w:val="both"/>
        <w:rPr>
          <w:rFonts w:ascii="Times New Roman" w:hAnsi="Times New Roman" w:cs="Times New Roman"/>
          <w:sz w:val="24"/>
          <w:szCs w:val="24"/>
        </w:rPr>
      </w:pPr>
      <w:r w:rsidRPr="00137E85">
        <w:rPr>
          <w:rFonts w:ascii="Times New Roman" w:hAnsi="Times New Roman" w:cs="Times New Roman"/>
          <w:sz w:val="24"/>
          <w:szCs w:val="24"/>
        </w:rPr>
        <w:t>applications were slow, simplistic</w:t>
      </w:r>
      <w:r w:rsidR="006C0229">
        <w:rPr>
          <w:rFonts w:ascii="Times New Roman" w:hAnsi="Times New Roman" w:cs="Times New Roman"/>
          <w:sz w:val="24"/>
          <w:szCs w:val="24"/>
        </w:rPr>
        <w:t>,</w:t>
      </w:r>
      <w:r w:rsidRPr="00137E85">
        <w:rPr>
          <w:rFonts w:ascii="Times New Roman" w:hAnsi="Times New Roman" w:cs="Times New Roman"/>
          <w:sz w:val="24"/>
          <w:szCs w:val="24"/>
        </w:rPr>
        <w:t xml:space="preserve"> and not closely linked to RDP goals, engendering mistrust in the programme among stakeholder groups. Also, within the public administration, poor inter-</w:t>
      </w:r>
      <w:r w:rsidRPr="00137E85">
        <w:rPr>
          <w:rFonts w:ascii="Times New Roman" w:hAnsi="Times New Roman" w:cs="Times New Roman"/>
          <w:sz w:val="24"/>
          <w:szCs w:val="24"/>
        </w:rPr>
        <w:lastRenderedPageBreak/>
        <w:t xml:space="preserve">departmental communication significantly hindered RDP success (e.g. where investments required prior planning permission but planning authorities were insufficiently informed or in agreement concerning RDP goals). Delivery costs were high, and outcomes limited due to high deadweight and displacement.  </w:t>
      </w:r>
    </w:p>
    <w:p w:rsidR="00137E85" w:rsidRPr="00137E85" w:rsidRDefault="00137E85" w:rsidP="00137E85">
      <w:pPr>
        <w:spacing w:after="0" w:line="360" w:lineRule="auto"/>
        <w:ind w:left="58"/>
        <w:jc w:val="both"/>
        <w:rPr>
          <w:rFonts w:ascii="Times New Roman" w:hAnsi="Times New Roman" w:cs="Times New Roman"/>
          <w:sz w:val="24"/>
          <w:szCs w:val="24"/>
        </w:rPr>
      </w:pPr>
    </w:p>
    <w:p w:rsidR="00137E85" w:rsidRDefault="00137E85" w:rsidP="00137E85">
      <w:pPr>
        <w:spacing w:after="0" w:line="360" w:lineRule="auto"/>
        <w:ind w:left="58"/>
        <w:jc w:val="both"/>
        <w:rPr>
          <w:rFonts w:ascii="Times New Roman" w:hAnsi="Times New Roman" w:cs="Times New Roman"/>
          <w:sz w:val="24"/>
          <w:szCs w:val="24"/>
        </w:rPr>
      </w:pPr>
      <w:r w:rsidRPr="00137E85">
        <w:rPr>
          <w:rFonts w:ascii="Times New Roman" w:hAnsi="Times New Roman" w:cs="Times New Roman"/>
          <w:sz w:val="24"/>
          <w:szCs w:val="24"/>
        </w:rPr>
        <w:t>Th</w:t>
      </w:r>
      <w:r w:rsidR="00BD6C14">
        <w:rPr>
          <w:rFonts w:ascii="Times New Roman" w:hAnsi="Times New Roman" w:cs="Times New Roman"/>
          <w:sz w:val="24"/>
          <w:szCs w:val="24"/>
        </w:rPr>
        <w:t>e</w:t>
      </w:r>
      <w:r w:rsidRPr="00137E85">
        <w:rPr>
          <w:rFonts w:ascii="Times New Roman" w:hAnsi="Times New Roman" w:cs="Times New Roman"/>
          <w:sz w:val="24"/>
          <w:szCs w:val="24"/>
        </w:rPr>
        <w:t xml:space="preserve"> analysis was used to develop a more inclusive approach to RDP design and development for the 2014-20 programme.  This involved more than 40 bilateral meetings with stakeholder bodies and several larger meetings with farmers and stakeholders, to discuss and identify RDP priorities, between October 2011 and November 2013.  In addition, six facilitated working groups of farmers and other relevant interests met monthly over a period of 8 months, to identify needs, actions and priorities in more detail, also considering how these might relate to delivery. Parallel work involved gathering and analyzing a range of relevant sector and contextual data to help inform, validate or challenge participants’ views, and thus support the learning process. The approach represented a conscious public investment aimed at enhancing RDP performance, principally by seeking to improve consensus around programme priorities and the balance of costs and benefits in transactions.</w:t>
      </w:r>
    </w:p>
    <w:p w:rsidR="00137E85" w:rsidRDefault="00137E85" w:rsidP="00137E85">
      <w:pPr>
        <w:spacing w:after="0" w:line="360" w:lineRule="auto"/>
        <w:ind w:left="58"/>
        <w:jc w:val="both"/>
        <w:rPr>
          <w:rFonts w:ascii="Times New Roman" w:hAnsi="Times New Roman" w:cs="Times New Roman"/>
          <w:sz w:val="24"/>
          <w:szCs w:val="24"/>
        </w:rPr>
      </w:pPr>
    </w:p>
    <w:p w:rsidR="008F0566" w:rsidRDefault="006645A7" w:rsidP="00137E85">
      <w:pPr>
        <w:spacing w:after="0" w:line="360" w:lineRule="auto"/>
        <w:ind w:left="58"/>
        <w:jc w:val="both"/>
      </w:pPr>
      <w:r>
        <w:rPr>
          <w:rFonts w:ascii="Times New Roman" w:hAnsi="Times New Roman" w:cs="Times New Roman"/>
          <w:sz w:val="24"/>
          <w:szCs w:val="24"/>
        </w:rPr>
        <w:t xml:space="preserve">Proposed actions based on the findings of the review process for </w:t>
      </w:r>
      <w:r w:rsidR="008F0566">
        <w:rPr>
          <w:rFonts w:ascii="Times New Roman" w:hAnsi="Times New Roman" w:cs="Times New Roman"/>
          <w:sz w:val="24"/>
          <w:szCs w:val="24"/>
        </w:rPr>
        <w:t>the new RDP</w:t>
      </w:r>
      <w:r>
        <w:rPr>
          <w:rFonts w:ascii="Times New Roman" w:hAnsi="Times New Roman" w:cs="Times New Roman"/>
          <w:sz w:val="24"/>
          <w:szCs w:val="24"/>
        </w:rPr>
        <w:t xml:space="preserve"> are identified in</w:t>
      </w:r>
      <w:r w:rsidR="008F0566">
        <w:rPr>
          <w:rFonts w:ascii="Times New Roman" w:hAnsi="Times New Roman" w:cs="Times New Roman"/>
          <w:sz w:val="24"/>
          <w:szCs w:val="24"/>
        </w:rPr>
        <w:t xml:space="preserve"> Table 5 (again structured following Coggan </w:t>
      </w:r>
      <w:r w:rsidR="008F0566" w:rsidRPr="000415F0">
        <w:rPr>
          <w:rFonts w:ascii="Times New Roman" w:hAnsi="Times New Roman" w:cs="Times New Roman"/>
          <w:i/>
          <w:sz w:val="24"/>
          <w:szCs w:val="24"/>
        </w:rPr>
        <w:t>et al</w:t>
      </w:r>
      <w:r w:rsidR="008F0566">
        <w:rPr>
          <w:rFonts w:ascii="Times New Roman" w:hAnsi="Times New Roman" w:cs="Times New Roman"/>
          <w:i/>
          <w:sz w:val="24"/>
          <w:szCs w:val="24"/>
        </w:rPr>
        <w:t>,</w:t>
      </w:r>
      <w:r w:rsidR="008F0566">
        <w:rPr>
          <w:rFonts w:ascii="Times New Roman" w:hAnsi="Times New Roman" w:cs="Times New Roman"/>
          <w:sz w:val="24"/>
          <w:szCs w:val="24"/>
        </w:rPr>
        <w:t xml:space="preserve"> 2010</w:t>
      </w:r>
      <w:r>
        <w:rPr>
          <w:rFonts w:ascii="Times New Roman" w:hAnsi="Times New Roman" w:cs="Times New Roman"/>
          <w:sz w:val="24"/>
          <w:szCs w:val="24"/>
        </w:rPr>
        <w:t xml:space="preserve">), along with a brief </w:t>
      </w:r>
      <w:r w:rsidR="008F0566">
        <w:rPr>
          <w:rFonts w:ascii="Times New Roman" w:hAnsi="Times New Roman" w:cs="Times New Roman"/>
          <w:sz w:val="24"/>
          <w:szCs w:val="24"/>
        </w:rPr>
        <w:t>expl</w:t>
      </w:r>
      <w:r>
        <w:rPr>
          <w:rFonts w:ascii="Times New Roman" w:hAnsi="Times New Roman" w:cs="Times New Roman"/>
          <w:sz w:val="24"/>
          <w:szCs w:val="24"/>
        </w:rPr>
        <w:t>anation</w:t>
      </w:r>
      <w:r w:rsidR="008F0566">
        <w:rPr>
          <w:rFonts w:ascii="Times New Roman" w:hAnsi="Times New Roman" w:cs="Times New Roman"/>
          <w:sz w:val="24"/>
          <w:szCs w:val="24"/>
        </w:rPr>
        <w:t>. The</w:t>
      </w:r>
      <w:r>
        <w:rPr>
          <w:rFonts w:ascii="Times New Roman" w:hAnsi="Times New Roman" w:cs="Times New Roman"/>
          <w:sz w:val="24"/>
          <w:szCs w:val="24"/>
        </w:rPr>
        <w:t xml:space="preserve"> underlying rationale for the</w:t>
      </w:r>
      <w:r w:rsidR="008F0566">
        <w:rPr>
          <w:rFonts w:ascii="Times New Roman" w:hAnsi="Times New Roman" w:cs="Times New Roman"/>
          <w:sz w:val="24"/>
          <w:szCs w:val="24"/>
        </w:rPr>
        <w:t xml:space="preserve">se actions </w:t>
      </w:r>
      <w:r>
        <w:rPr>
          <w:rFonts w:ascii="Times New Roman" w:hAnsi="Times New Roman" w:cs="Times New Roman"/>
          <w:sz w:val="24"/>
          <w:szCs w:val="24"/>
        </w:rPr>
        <w:t>is support for</w:t>
      </w:r>
      <w:r w:rsidR="008F0566">
        <w:rPr>
          <w:rFonts w:ascii="Times New Roman" w:hAnsi="Times New Roman" w:cs="Times New Roman"/>
          <w:sz w:val="24"/>
          <w:szCs w:val="24"/>
        </w:rPr>
        <w:t xml:space="preserve"> reduc</w:t>
      </w:r>
      <w:r>
        <w:rPr>
          <w:rFonts w:ascii="Times New Roman" w:hAnsi="Times New Roman" w:cs="Times New Roman"/>
          <w:sz w:val="24"/>
          <w:szCs w:val="24"/>
        </w:rPr>
        <w:t>ing</w:t>
      </w:r>
      <w:r w:rsidR="008F0566">
        <w:rPr>
          <w:rFonts w:ascii="Times New Roman" w:hAnsi="Times New Roman" w:cs="Times New Roman"/>
          <w:sz w:val="24"/>
          <w:szCs w:val="24"/>
        </w:rPr>
        <w:t xml:space="preserve"> transaction costs and stimulat</w:t>
      </w:r>
      <w:r w:rsidR="00A572ED">
        <w:rPr>
          <w:rFonts w:ascii="Times New Roman" w:hAnsi="Times New Roman" w:cs="Times New Roman"/>
          <w:sz w:val="24"/>
          <w:szCs w:val="24"/>
        </w:rPr>
        <w:t>ing</w:t>
      </w:r>
      <w:r w:rsidR="008F0566">
        <w:rPr>
          <w:rFonts w:ascii="Times New Roman" w:hAnsi="Times New Roman" w:cs="Times New Roman"/>
          <w:sz w:val="24"/>
          <w:szCs w:val="24"/>
        </w:rPr>
        <w:t xml:space="preserve"> transaction benefits</w:t>
      </w:r>
      <w:r>
        <w:rPr>
          <w:rFonts w:ascii="Times New Roman" w:hAnsi="Times New Roman" w:cs="Times New Roman"/>
          <w:sz w:val="24"/>
          <w:szCs w:val="24"/>
        </w:rPr>
        <w:t>,</w:t>
      </w:r>
      <w:r w:rsidR="008F0566">
        <w:rPr>
          <w:rFonts w:ascii="Times New Roman" w:hAnsi="Times New Roman" w:cs="Times New Roman"/>
          <w:sz w:val="24"/>
          <w:szCs w:val="24"/>
        </w:rPr>
        <w:t xml:space="preserve"> by improving the conditions of delivery and developing capacity among delivery personnel.  Examples include a ‘one-stop-shop’ providing enhanced advice and training, a simpler application process with facilitation, and a staged appraisal procedure designed to better manage demand and speed up individual decisions.  The review also </w:t>
      </w:r>
      <w:r>
        <w:rPr>
          <w:rFonts w:ascii="Times New Roman" w:hAnsi="Times New Roman" w:cs="Times New Roman"/>
          <w:sz w:val="24"/>
          <w:szCs w:val="24"/>
        </w:rPr>
        <w:t xml:space="preserve">contributed to </w:t>
      </w:r>
      <w:r w:rsidR="008F0566">
        <w:rPr>
          <w:rFonts w:ascii="Times New Roman" w:hAnsi="Times New Roman" w:cs="Times New Roman"/>
          <w:sz w:val="24"/>
          <w:szCs w:val="24"/>
        </w:rPr>
        <w:t>reduced inter-departmental friction in the government administration by improving understanding of how the RDP could contribute to other policy goals</w:t>
      </w:r>
      <w:r>
        <w:rPr>
          <w:rFonts w:ascii="Times New Roman" w:hAnsi="Times New Roman" w:cs="Times New Roman"/>
          <w:sz w:val="24"/>
          <w:szCs w:val="24"/>
        </w:rPr>
        <w:t xml:space="preserve">.  This </w:t>
      </w:r>
      <w:r w:rsidR="008F0566">
        <w:rPr>
          <w:rFonts w:ascii="Times New Roman" w:hAnsi="Times New Roman" w:cs="Times New Roman"/>
          <w:sz w:val="24"/>
          <w:szCs w:val="24"/>
        </w:rPr>
        <w:t xml:space="preserve"> </w:t>
      </w:r>
      <w:r>
        <w:rPr>
          <w:rFonts w:ascii="Times New Roman" w:hAnsi="Times New Roman" w:cs="Times New Roman"/>
          <w:sz w:val="24"/>
          <w:szCs w:val="24"/>
        </w:rPr>
        <w:t xml:space="preserve">led to </w:t>
      </w:r>
      <w:r w:rsidR="008F0566">
        <w:rPr>
          <w:rFonts w:ascii="Times New Roman" w:hAnsi="Times New Roman" w:cs="Times New Roman"/>
          <w:sz w:val="24"/>
          <w:szCs w:val="24"/>
        </w:rPr>
        <w:t>reciprocal policy change</w:t>
      </w:r>
      <w:r>
        <w:rPr>
          <w:rFonts w:ascii="Times New Roman" w:hAnsi="Times New Roman" w:cs="Times New Roman"/>
          <w:sz w:val="24"/>
          <w:szCs w:val="24"/>
        </w:rPr>
        <w:t xml:space="preserve">, </w:t>
      </w:r>
      <w:r w:rsidR="008F0566">
        <w:rPr>
          <w:rFonts w:ascii="Times New Roman" w:hAnsi="Times New Roman" w:cs="Times New Roman"/>
          <w:sz w:val="24"/>
          <w:szCs w:val="24"/>
        </w:rPr>
        <w:t>most notably</w:t>
      </w:r>
      <w:r>
        <w:rPr>
          <w:rFonts w:ascii="Times New Roman" w:hAnsi="Times New Roman" w:cs="Times New Roman"/>
          <w:sz w:val="24"/>
          <w:szCs w:val="24"/>
        </w:rPr>
        <w:t xml:space="preserve"> </w:t>
      </w:r>
      <w:r w:rsidR="008F0566">
        <w:rPr>
          <w:rFonts w:ascii="Times New Roman" w:hAnsi="Times New Roman" w:cs="Times New Roman"/>
          <w:sz w:val="24"/>
          <w:szCs w:val="24"/>
        </w:rPr>
        <w:t xml:space="preserve">a more appropriate spatial planning treatment for RDP projects, but also support and encouragement from health and consumer policy. </w:t>
      </w:r>
    </w:p>
    <w:p w:rsidR="008F0566" w:rsidRDefault="008F0566" w:rsidP="008F0566">
      <w:pPr>
        <w:spacing w:after="0" w:line="360" w:lineRule="auto"/>
        <w:jc w:val="both"/>
        <w:rPr>
          <w:rFonts w:ascii="Times New Roman" w:hAnsi="Times New Roman" w:cs="Times New Roman"/>
          <w:sz w:val="24"/>
          <w:szCs w:val="24"/>
        </w:rPr>
      </w:pPr>
    </w:p>
    <w:p w:rsidR="008F0566" w:rsidRPr="00D916A1" w:rsidRDefault="008F0566" w:rsidP="008F0566">
      <w:pPr>
        <w:spacing w:after="0" w:line="360" w:lineRule="auto"/>
        <w:jc w:val="both"/>
        <w:rPr>
          <w:rFonts w:ascii="Times New Roman" w:hAnsi="Times New Roman" w:cs="Times New Roman"/>
          <w:sz w:val="24"/>
          <w:szCs w:val="24"/>
        </w:rPr>
      </w:pPr>
    </w:p>
    <w:p w:rsidR="00E83ECD" w:rsidRDefault="00E83ECD" w:rsidP="008D745F">
      <w:pPr>
        <w:spacing w:line="360" w:lineRule="auto"/>
      </w:pPr>
      <w:r>
        <w:br w:type="page"/>
      </w:r>
    </w:p>
    <w:p w:rsidR="004E6E60" w:rsidRPr="007E3A92" w:rsidRDefault="004E6E60" w:rsidP="008D745F">
      <w:pPr>
        <w:spacing w:after="0" w:line="360" w:lineRule="auto"/>
        <w:rPr>
          <w:rFonts w:ascii="Times New Roman" w:hAnsi="Times New Roman" w:cs="Times New Roman"/>
          <w:sz w:val="24"/>
          <w:szCs w:val="24"/>
        </w:rPr>
        <w:sectPr w:rsidR="004E6E60" w:rsidRPr="007E3A92" w:rsidSect="00D9088A">
          <w:pgSz w:w="12240" w:h="15840"/>
          <w:pgMar w:top="1440" w:right="1440" w:bottom="1440" w:left="1440" w:header="708" w:footer="708" w:gutter="0"/>
          <w:cols w:space="708"/>
          <w:docGrid w:linePitch="360"/>
        </w:sectPr>
      </w:pPr>
    </w:p>
    <w:p w:rsidR="00E83ECD" w:rsidRDefault="00E83ECD" w:rsidP="008D745F">
      <w:pPr>
        <w:spacing w:after="0" w:line="360" w:lineRule="auto"/>
        <w:rPr>
          <w:rFonts w:ascii="Times New Roman" w:hAnsi="Times New Roman" w:cs="Times New Roman"/>
          <w:b/>
          <w:sz w:val="24"/>
          <w:szCs w:val="24"/>
        </w:rPr>
      </w:pPr>
    </w:p>
    <w:p w:rsidR="00E83ECD" w:rsidRDefault="00E83ECD" w:rsidP="008D745F">
      <w:pPr>
        <w:spacing w:after="0" w:line="360" w:lineRule="auto"/>
        <w:rPr>
          <w:rFonts w:ascii="Times New Roman" w:hAnsi="Times New Roman" w:cs="Times New Roman"/>
          <w:b/>
          <w:sz w:val="24"/>
          <w:szCs w:val="24"/>
        </w:rPr>
      </w:pPr>
      <w:r w:rsidRPr="008B63BC">
        <w:rPr>
          <w:rFonts w:ascii="Times New Roman" w:hAnsi="Times New Roman" w:cs="Times New Roman"/>
          <w:b/>
          <w:sz w:val="24"/>
          <w:szCs w:val="24"/>
        </w:rPr>
        <w:t xml:space="preserve">Table </w:t>
      </w:r>
      <w:r>
        <w:rPr>
          <w:rFonts w:ascii="Times New Roman" w:hAnsi="Times New Roman" w:cs="Times New Roman"/>
          <w:b/>
          <w:sz w:val="24"/>
          <w:szCs w:val="24"/>
        </w:rPr>
        <w:t>5</w:t>
      </w:r>
      <w:r w:rsidRPr="008B63BC">
        <w:rPr>
          <w:rFonts w:ascii="Times New Roman" w:hAnsi="Times New Roman" w:cs="Times New Roman"/>
          <w:b/>
          <w:sz w:val="24"/>
          <w:szCs w:val="24"/>
        </w:rPr>
        <w:t xml:space="preserve">. Malta RDP: Proposed actions and potential for generating </w:t>
      </w:r>
      <w:r>
        <w:rPr>
          <w:rFonts w:ascii="Times New Roman" w:hAnsi="Times New Roman" w:cs="Times New Roman"/>
          <w:b/>
          <w:sz w:val="24"/>
          <w:szCs w:val="24"/>
        </w:rPr>
        <w:t xml:space="preserve">net </w:t>
      </w:r>
      <w:r w:rsidRPr="008B63BC">
        <w:rPr>
          <w:rFonts w:ascii="Times New Roman" w:hAnsi="Times New Roman" w:cs="Times New Roman"/>
          <w:b/>
          <w:sz w:val="24"/>
          <w:szCs w:val="24"/>
        </w:rPr>
        <w:t xml:space="preserve">transaction benefits </w:t>
      </w:r>
      <w:r w:rsidR="00137E85" w:rsidRPr="00137E85">
        <w:rPr>
          <w:rFonts w:ascii="Times New Roman" w:hAnsi="Times New Roman" w:cs="Times New Roman"/>
          <w:sz w:val="24"/>
          <w:szCs w:val="24"/>
        </w:rPr>
        <w:t>(source: authors</w:t>
      </w:r>
      <w:r w:rsidR="003545A1">
        <w:rPr>
          <w:rFonts w:ascii="Times New Roman" w:hAnsi="Times New Roman" w:cs="Times New Roman"/>
          <w:sz w:val="24"/>
          <w:szCs w:val="24"/>
        </w:rPr>
        <w:t>’ own</w:t>
      </w:r>
      <w:r w:rsidR="00137E85" w:rsidRPr="00137E85">
        <w:rPr>
          <w:rFonts w:ascii="Times New Roman" w:hAnsi="Times New Roman" w:cs="Times New Roman"/>
          <w:sz w:val="24"/>
          <w:szCs w:val="24"/>
        </w:rPr>
        <w:t>)</w:t>
      </w:r>
    </w:p>
    <w:tbl>
      <w:tblPr>
        <w:tblStyle w:val="TableGrid1"/>
        <w:tblW w:w="13150" w:type="dxa"/>
        <w:tblLook w:val="04A0" w:firstRow="1" w:lastRow="0" w:firstColumn="1" w:lastColumn="0" w:noHBand="0" w:noVBand="1"/>
      </w:tblPr>
      <w:tblGrid>
        <w:gridCol w:w="1668"/>
        <w:gridCol w:w="5528"/>
        <w:gridCol w:w="5954"/>
      </w:tblGrid>
      <w:tr w:rsidR="004E6E60" w:rsidRPr="008B63BC" w:rsidTr="00AA0695">
        <w:tc>
          <w:tcPr>
            <w:tcW w:w="1668" w:type="dxa"/>
          </w:tcPr>
          <w:p w:rsidR="004E6E60" w:rsidRPr="008B63BC" w:rsidRDefault="0080317D" w:rsidP="00AA0695">
            <w:pPr>
              <w:jc w:val="center"/>
              <w:rPr>
                <w:rFonts w:ascii="Times New Roman" w:hAnsi="Times New Roman" w:cs="Times New Roman"/>
                <w:b/>
                <w:sz w:val="20"/>
                <w:szCs w:val="20"/>
              </w:rPr>
            </w:pPr>
            <w:r w:rsidRPr="008B63BC">
              <w:rPr>
                <w:rFonts w:ascii="Times New Roman" w:hAnsi="Times New Roman" w:cs="Times New Roman"/>
                <w:b/>
                <w:sz w:val="20"/>
                <w:szCs w:val="20"/>
              </w:rPr>
              <w:t>Delivery p</w:t>
            </w:r>
            <w:r w:rsidR="00AA0695">
              <w:rPr>
                <w:rFonts w:ascii="Times New Roman" w:hAnsi="Times New Roman" w:cs="Times New Roman"/>
                <w:b/>
                <w:sz w:val="20"/>
                <w:szCs w:val="20"/>
              </w:rPr>
              <w:t>rocess</w:t>
            </w:r>
          </w:p>
        </w:tc>
        <w:tc>
          <w:tcPr>
            <w:tcW w:w="5528" w:type="dxa"/>
          </w:tcPr>
          <w:p w:rsidR="004E6E60" w:rsidRPr="008B63BC" w:rsidRDefault="004E6E60" w:rsidP="00AA0695">
            <w:pPr>
              <w:jc w:val="center"/>
              <w:rPr>
                <w:rFonts w:ascii="Times New Roman" w:hAnsi="Times New Roman" w:cs="Times New Roman"/>
                <w:b/>
                <w:sz w:val="20"/>
                <w:szCs w:val="20"/>
              </w:rPr>
            </w:pPr>
            <w:r w:rsidRPr="008B63BC">
              <w:rPr>
                <w:rFonts w:ascii="Times New Roman" w:hAnsi="Times New Roman" w:cs="Times New Roman"/>
                <w:b/>
                <w:sz w:val="20"/>
                <w:szCs w:val="20"/>
              </w:rPr>
              <w:t>Proposed Actions 2014-20</w:t>
            </w:r>
          </w:p>
        </w:tc>
        <w:tc>
          <w:tcPr>
            <w:tcW w:w="5954" w:type="dxa"/>
          </w:tcPr>
          <w:p w:rsidR="004E6E60" w:rsidRPr="008B63BC" w:rsidRDefault="004E6E60" w:rsidP="00AA0695">
            <w:pPr>
              <w:jc w:val="center"/>
              <w:rPr>
                <w:rFonts w:ascii="Times New Roman" w:hAnsi="Times New Roman" w:cs="Times New Roman"/>
                <w:b/>
                <w:sz w:val="20"/>
                <w:szCs w:val="20"/>
              </w:rPr>
            </w:pPr>
            <w:r w:rsidRPr="008B63BC">
              <w:rPr>
                <w:rFonts w:ascii="Times New Roman" w:hAnsi="Times New Roman" w:cs="Times New Roman"/>
                <w:b/>
                <w:sz w:val="20"/>
                <w:szCs w:val="20"/>
              </w:rPr>
              <w:t xml:space="preserve">Anticipated benefits </w:t>
            </w:r>
          </w:p>
        </w:tc>
      </w:tr>
      <w:tr w:rsidR="004E6E60" w:rsidRPr="008B63BC" w:rsidTr="00AA0695">
        <w:tc>
          <w:tcPr>
            <w:tcW w:w="1668" w:type="dxa"/>
          </w:tcPr>
          <w:p w:rsidR="004E6E60" w:rsidRPr="008B63BC" w:rsidRDefault="004E6E60" w:rsidP="00AA0695">
            <w:pPr>
              <w:contextualSpacing/>
              <w:rPr>
                <w:rFonts w:ascii="Times New Roman" w:hAnsi="Times New Roman" w:cs="Times New Roman"/>
                <w:b/>
                <w:sz w:val="20"/>
                <w:szCs w:val="20"/>
              </w:rPr>
            </w:pPr>
            <w:r w:rsidRPr="008B63BC">
              <w:rPr>
                <w:rFonts w:ascii="Times New Roman" w:hAnsi="Times New Roman" w:cs="Times New Roman"/>
                <w:b/>
                <w:sz w:val="20"/>
                <w:szCs w:val="20"/>
              </w:rPr>
              <w:t>Programme /scheme design</w:t>
            </w:r>
          </w:p>
          <w:p w:rsidR="004E6E60" w:rsidRPr="008B63BC" w:rsidRDefault="004E6E60" w:rsidP="00AA0695">
            <w:pPr>
              <w:contextualSpacing/>
              <w:rPr>
                <w:rFonts w:ascii="Times New Roman" w:hAnsi="Times New Roman" w:cs="Times New Roman"/>
                <w:b/>
                <w:sz w:val="20"/>
                <w:szCs w:val="20"/>
              </w:rPr>
            </w:pPr>
          </w:p>
        </w:tc>
        <w:tc>
          <w:tcPr>
            <w:tcW w:w="5528" w:type="dxa"/>
          </w:tcPr>
          <w:p w:rsidR="004E6E60" w:rsidRPr="008B63BC" w:rsidRDefault="004E6E60"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Intensive stakeholder consultation</w:t>
            </w:r>
          </w:p>
          <w:p w:rsidR="004E6E60" w:rsidRPr="008B63BC" w:rsidRDefault="0080317D"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Training for delivery personnel</w:t>
            </w:r>
            <w:r w:rsidR="004C3C96">
              <w:rPr>
                <w:rFonts w:ascii="Times New Roman" w:hAnsi="Times New Roman" w:cs="Times New Roman"/>
                <w:sz w:val="20"/>
                <w:szCs w:val="20"/>
              </w:rPr>
              <w:t xml:space="preserve"> in how design and delivery affect performance</w:t>
            </w:r>
          </w:p>
          <w:p w:rsidR="004E6E60" w:rsidRPr="008B63BC" w:rsidRDefault="004E6E60"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Focus on partnership and supply chain working (through local co-operatives)</w:t>
            </w:r>
          </w:p>
        </w:tc>
        <w:tc>
          <w:tcPr>
            <w:tcW w:w="5954" w:type="dxa"/>
          </w:tcPr>
          <w:p w:rsidR="00A9164B" w:rsidRPr="00AA0695" w:rsidRDefault="004E6E60" w:rsidP="00AA0695">
            <w:pPr>
              <w:pStyle w:val="ListParagraph"/>
              <w:numPr>
                <w:ilvl w:val="0"/>
                <w:numId w:val="14"/>
              </w:numPr>
              <w:ind w:left="317" w:hanging="218"/>
              <w:rPr>
                <w:rFonts w:ascii="Times New Roman" w:hAnsi="Times New Roman" w:cs="Times New Roman"/>
                <w:sz w:val="20"/>
                <w:szCs w:val="20"/>
              </w:rPr>
            </w:pPr>
            <w:r w:rsidRPr="008B63BC">
              <w:rPr>
                <w:rFonts w:ascii="Times New Roman" w:hAnsi="Times New Roman" w:cs="Times New Roman"/>
                <w:sz w:val="20"/>
                <w:szCs w:val="20"/>
              </w:rPr>
              <w:t>Increased programme support via stakeholder involvement in design</w:t>
            </w:r>
            <w:r w:rsidR="009C1D54">
              <w:rPr>
                <w:rFonts w:ascii="Times New Roman" w:hAnsi="Times New Roman" w:cs="Times New Roman"/>
                <w:sz w:val="20"/>
                <w:szCs w:val="20"/>
              </w:rPr>
              <w:t>, c</w:t>
            </w:r>
            <w:r w:rsidRPr="008B63BC">
              <w:rPr>
                <w:rFonts w:ascii="Times New Roman" w:hAnsi="Times New Roman" w:cs="Times New Roman"/>
                <w:sz w:val="20"/>
                <w:szCs w:val="20"/>
              </w:rPr>
              <w:t>reates project synergies</w:t>
            </w:r>
            <w:r w:rsidR="002A3A7C" w:rsidRPr="008B63BC">
              <w:rPr>
                <w:rFonts w:ascii="Times New Roman" w:hAnsi="Times New Roman" w:cs="Times New Roman"/>
                <w:sz w:val="20"/>
                <w:szCs w:val="20"/>
              </w:rPr>
              <w:t xml:space="preserve"> &amp;</w:t>
            </w:r>
            <w:r w:rsidRPr="008B63BC">
              <w:rPr>
                <w:rFonts w:ascii="Times New Roman" w:hAnsi="Times New Roman" w:cs="Times New Roman"/>
                <w:sz w:val="20"/>
                <w:szCs w:val="20"/>
              </w:rPr>
              <w:t xml:space="preserve"> inter-institutional trust</w:t>
            </w:r>
            <w:r w:rsidR="009C1D54">
              <w:rPr>
                <w:rFonts w:ascii="Times New Roman" w:hAnsi="Times New Roman" w:cs="Times New Roman"/>
                <w:sz w:val="20"/>
                <w:szCs w:val="20"/>
              </w:rPr>
              <w:t xml:space="preserve">, </w:t>
            </w:r>
            <w:r w:rsidR="004C3C96">
              <w:rPr>
                <w:rFonts w:ascii="Times New Roman" w:hAnsi="Times New Roman" w:cs="Times New Roman"/>
                <w:sz w:val="20"/>
                <w:szCs w:val="20"/>
              </w:rPr>
              <w:t xml:space="preserve">targeting key sectors, </w:t>
            </w:r>
            <w:r w:rsidR="009C1D54">
              <w:rPr>
                <w:rFonts w:ascii="Times New Roman" w:hAnsi="Times New Roman" w:cs="Times New Roman"/>
                <w:sz w:val="20"/>
                <w:szCs w:val="20"/>
              </w:rPr>
              <w:t>should promote more effective projects</w:t>
            </w:r>
            <w:r w:rsidR="00AA0695">
              <w:rPr>
                <w:rFonts w:ascii="Times New Roman" w:hAnsi="Times New Roman" w:cs="Times New Roman"/>
                <w:sz w:val="20"/>
                <w:szCs w:val="20"/>
              </w:rPr>
              <w:t xml:space="preserve"> and reduce beneficiaries’ need for new information for each application, as well as </w:t>
            </w:r>
            <w:r w:rsidR="008945B7">
              <w:rPr>
                <w:rFonts w:ascii="Times New Roman" w:hAnsi="Times New Roman" w:cs="Times New Roman"/>
                <w:sz w:val="20"/>
                <w:szCs w:val="20"/>
              </w:rPr>
              <w:t>using co-ops to filter potential applications</w:t>
            </w:r>
          </w:p>
        </w:tc>
      </w:tr>
      <w:tr w:rsidR="004E6E60" w:rsidRPr="008B63BC" w:rsidTr="00AA0695">
        <w:trPr>
          <w:trHeight w:val="846"/>
        </w:trPr>
        <w:tc>
          <w:tcPr>
            <w:tcW w:w="1668" w:type="dxa"/>
          </w:tcPr>
          <w:p w:rsidR="004E6E60" w:rsidRPr="008B63BC" w:rsidRDefault="004E6E60" w:rsidP="00AA0695">
            <w:pPr>
              <w:contextualSpacing/>
              <w:rPr>
                <w:rFonts w:ascii="Times New Roman" w:hAnsi="Times New Roman" w:cs="Times New Roman"/>
                <w:b/>
                <w:i/>
                <w:sz w:val="20"/>
                <w:szCs w:val="20"/>
              </w:rPr>
            </w:pPr>
            <w:r w:rsidRPr="008B63BC">
              <w:rPr>
                <w:rFonts w:ascii="Times New Roman" w:hAnsi="Times New Roman" w:cs="Times New Roman"/>
                <w:b/>
                <w:sz w:val="20"/>
                <w:szCs w:val="20"/>
              </w:rPr>
              <w:t>Knowledge &amp; information</w:t>
            </w:r>
            <w:r w:rsidRPr="008B63BC">
              <w:rPr>
                <w:rFonts w:ascii="Times New Roman" w:hAnsi="Times New Roman" w:cs="Times New Roman"/>
                <w:b/>
                <w:i/>
                <w:sz w:val="20"/>
                <w:szCs w:val="20"/>
              </w:rPr>
              <w:t xml:space="preserve"> </w:t>
            </w:r>
          </w:p>
        </w:tc>
        <w:tc>
          <w:tcPr>
            <w:tcW w:w="5528" w:type="dxa"/>
          </w:tcPr>
          <w:p w:rsidR="0080317D" w:rsidRPr="008B63BC" w:rsidRDefault="004E6E60"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Use N</w:t>
            </w:r>
            <w:r w:rsidR="005B3BBD">
              <w:rPr>
                <w:rFonts w:ascii="Times New Roman" w:hAnsi="Times New Roman" w:cs="Times New Roman"/>
                <w:sz w:val="20"/>
                <w:szCs w:val="20"/>
              </w:rPr>
              <w:t xml:space="preserve">ational </w:t>
            </w:r>
            <w:r w:rsidRPr="008B63BC">
              <w:rPr>
                <w:rFonts w:ascii="Times New Roman" w:hAnsi="Times New Roman" w:cs="Times New Roman"/>
                <w:sz w:val="20"/>
                <w:szCs w:val="20"/>
              </w:rPr>
              <w:t>R</w:t>
            </w:r>
            <w:r w:rsidR="005B3BBD">
              <w:rPr>
                <w:rFonts w:ascii="Times New Roman" w:hAnsi="Times New Roman" w:cs="Times New Roman"/>
                <w:sz w:val="20"/>
                <w:szCs w:val="20"/>
              </w:rPr>
              <w:t xml:space="preserve">ural </w:t>
            </w:r>
            <w:r w:rsidRPr="008B63BC">
              <w:rPr>
                <w:rFonts w:ascii="Times New Roman" w:hAnsi="Times New Roman" w:cs="Times New Roman"/>
                <w:sz w:val="20"/>
                <w:szCs w:val="20"/>
              </w:rPr>
              <w:t>N</w:t>
            </w:r>
            <w:r w:rsidR="005B3BBD">
              <w:rPr>
                <w:rFonts w:ascii="Times New Roman" w:hAnsi="Times New Roman" w:cs="Times New Roman"/>
                <w:sz w:val="20"/>
                <w:szCs w:val="20"/>
              </w:rPr>
              <w:t>etwork</w:t>
            </w:r>
            <w:r w:rsidRPr="008B63BC">
              <w:rPr>
                <w:rFonts w:ascii="Times New Roman" w:hAnsi="Times New Roman" w:cs="Times New Roman"/>
                <w:sz w:val="20"/>
                <w:szCs w:val="20"/>
              </w:rPr>
              <w:t xml:space="preserve"> </w:t>
            </w:r>
            <w:r w:rsidR="003657FD">
              <w:rPr>
                <w:rFonts w:ascii="Times New Roman" w:hAnsi="Times New Roman" w:cs="Times New Roman"/>
                <w:sz w:val="20"/>
                <w:szCs w:val="20"/>
              </w:rPr>
              <w:t xml:space="preserve">(NRN) </w:t>
            </w:r>
            <w:r w:rsidRPr="008B63BC">
              <w:rPr>
                <w:rFonts w:ascii="Times New Roman" w:hAnsi="Times New Roman" w:cs="Times New Roman"/>
                <w:sz w:val="20"/>
                <w:szCs w:val="20"/>
              </w:rPr>
              <w:t xml:space="preserve">members </w:t>
            </w:r>
            <w:r w:rsidR="005B3BBD">
              <w:rPr>
                <w:rFonts w:ascii="Times New Roman" w:hAnsi="Times New Roman" w:cs="Times New Roman"/>
                <w:sz w:val="20"/>
                <w:szCs w:val="20"/>
              </w:rPr>
              <w:t xml:space="preserve">(stakeholders) </w:t>
            </w:r>
            <w:r w:rsidRPr="008B63BC">
              <w:rPr>
                <w:rFonts w:ascii="Times New Roman" w:hAnsi="Times New Roman" w:cs="Times New Roman"/>
                <w:sz w:val="20"/>
                <w:szCs w:val="20"/>
              </w:rPr>
              <w:t>to promote R</w:t>
            </w:r>
            <w:r w:rsidR="0080317D" w:rsidRPr="008B63BC">
              <w:rPr>
                <w:rFonts w:ascii="Times New Roman" w:hAnsi="Times New Roman" w:cs="Times New Roman"/>
                <w:sz w:val="20"/>
                <w:szCs w:val="20"/>
              </w:rPr>
              <w:t xml:space="preserve">DP </w:t>
            </w:r>
            <w:r w:rsidR="005B3BBD">
              <w:rPr>
                <w:rFonts w:ascii="Times New Roman" w:hAnsi="Times New Roman" w:cs="Times New Roman"/>
                <w:sz w:val="20"/>
                <w:szCs w:val="20"/>
              </w:rPr>
              <w:t xml:space="preserve">to beneficiaries </w:t>
            </w:r>
            <w:r w:rsidR="0080317D" w:rsidRPr="008B63BC">
              <w:rPr>
                <w:rFonts w:ascii="Times New Roman" w:hAnsi="Times New Roman" w:cs="Times New Roman"/>
                <w:sz w:val="20"/>
                <w:szCs w:val="20"/>
              </w:rPr>
              <w:t xml:space="preserve">in </w:t>
            </w:r>
            <w:r w:rsidR="008945B7">
              <w:rPr>
                <w:rFonts w:ascii="Times New Roman" w:hAnsi="Times New Roman" w:cs="Times New Roman"/>
                <w:sz w:val="20"/>
                <w:szCs w:val="20"/>
              </w:rPr>
              <w:t xml:space="preserve">more </w:t>
            </w:r>
            <w:r w:rsidR="0080317D" w:rsidRPr="008B63BC">
              <w:rPr>
                <w:rFonts w:ascii="Times New Roman" w:hAnsi="Times New Roman" w:cs="Times New Roman"/>
                <w:sz w:val="20"/>
                <w:szCs w:val="20"/>
              </w:rPr>
              <w:t>accessible language</w:t>
            </w:r>
          </w:p>
          <w:p w:rsidR="004E6E60" w:rsidRPr="008B63BC" w:rsidRDefault="0080317D"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Fund more support and facilitation via Farm Advisory Service</w:t>
            </w:r>
            <w:r w:rsidR="004E6E60" w:rsidRPr="008B63BC">
              <w:rPr>
                <w:rFonts w:ascii="Times New Roman" w:hAnsi="Times New Roman" w:cs="Times New Roman"/>
                <w:sz w:val="20"/>
                <w:szCs w:val="20"/>
              </w:rPr>
              <w:t xml:space="preserve"> </w:t>
            </w:r>
            <w:r w:rsidR="004C3C96">
              <w:rPr>
                <w:rFonts w:ascii="Times New Roman" w:hAnsi="Times New Roman" w:cs="Times New Roman"/>
                <w:sz w:val="20"/>
                <w:szCs w:val="20"/>
              </w:rPr>
              <w:t>and</w:t>
            </w:r>
            <w:r w:rsidR="004E6E60" w:rsidRPr="008B63BC">
              <w:rPr>
                <w:rFonts w:ascii="Times New Roman" w:hAnsi="Times New Roman" w:cs="Times New Roman"/>
                <w:sz w:val="20"/>
                <w:szCs w:val="20"/>
              </w:rPr>
              <w:t xml:space="preserve"> approved contractors</w:t>
            </w:r>
          </w:p>
        </w:tc>
        <w:tc>
          <w:tcPr>
            <w:tcW w:w="5954" w:type="dxa"/>
          </w:tcPr>
          <w:p w:rsidR="002A3A7C" w:rsidRPr="008B63BC" w:rsidRDefault="004E6E60" w:rsidP="00AA0695">
            <w:pPr>
              <w:pStyle w:val="ListParagraph"/>
              <w:numPr>
                <w:ilvl w:val="0"/>
                <w:numId w:val="14"/>
              </w:numPr>
              <w:ind w:left="317" w:hanging="218"/>
              <w:rPr>
                <w:rFonts w:ascii="Times New Roman" w:hAnsi="Times New Roman" w:cs="Times New Roman"/>
                <w:sz w:val="20"/>
                <w:szCs w:val="20"/>
              </w:rPr>
            </w:pPr>
            <w:r w:rsidRPr="008B63BC">
              <w:rPr>
                <w:rFonts w:ascii="Times New Roman" w:hAnsi="Times New Roman" w:cs="Times New Roman"/>
                <w:sz w:val="20"/>
                <w:szCs w:val="20"/>
              </w:rPr>
              <w:t>Reduced promotion costs</w:t>
            </w:r>
            <w:r w:rsidR="008945B7">
              <w:rPr>
                <w:rFonts w:ascii="Times New Roman" w:hAnsi="Times New Roman" w:cs="Times New Roman"/>
                <w:sz w:val="20"/>
                <w:szCs w:val="20"/>
              </w:rPr>
              <w:t xml:space="preserve"> for the managing authority</w:t>
            </w:r>
            <w:r w:rsidRPr="008B63BC">
              <w:rPr>
                <w:rFonts w:ascii="Times New Roman" w:hAnsi="Times New Roman" w:cs="Times New Roman"/>
                <w:sz w:val="20"/>
                <w:szCs w:val="20"/>
              </w:rPr>
              <w:t xml:space="preserve"> </w:t>
            </w:r>
          </w:p>
          <w:p w:rsidR="004E6E60" w:rsidRPr="008B63BC" w:rsidRDefault="004E6E60" w:rsidP="00AA0695">
            <w:pPr>
              <w:pStyle w:val="ListParagraph"/>
              <w:numPr>
                <w:ilvl w:val="0"/>
                <w:numId w:val="14"/>
              </w:numPr>
              <w:ind w:left="317" w:hanging="218"/>
              <w:rPr>
                <w:rFonts w:ascii="Times New Roman" w:hAnsi="Times New Roman" w:cs="Times New Roman"/>
                <w:sz w:val="20"/>
                <w:szCs w:val="20"/>
              </w:rPr>
            </w:pPr>
            <w:r w:rsidRPr="008B63BC">
              <w:rPr>
                <w:rFonts w:ascii="Times New Roman" w:hAnsi="Times New Roman" w:cs="Times New Roman"/>
                <w:sz w:val="20"/>
                <w:szCs w:val="20"/>
              </w:rPr>
              <w:t>Greater awareness of RDP goals, more advice, using external expert knowledge, easier application process</w:t>
            </w:r>
            <w:r w:rsidR="008945B7">
              <w:rPr>
                <w:rFonts w:ascii="Times New Roman" w:hAnsi="Times New Roman" w:cs="Times New Roman"/>
                <w:sz w:val="20"/>
                <w:szCs w:val="20"/>
              </w:rPr>
              <w:t xml:space="preserve"> for beneficiaries</w:t>
            </w:r>
          </w:p>
        </w:tc>
      </w:tr>
      <w:tr w:rsidR="004E6E60" w:rsidRPr="008B63BC" w:rsidTr="00AA0695">
        <w:trPr>
          <w:trHeight w:val="590"/>
        </w:trPr>
        <w:tc>
          <w:tcPr>
            <w:tcW w:w="1668" w:type="dxa"/>
          </w:tcPr>
          <w:p w:rsidR="004E6E60" w:rsidRPr="008B63BC" w:rsidRDefault="004E6E60" w:rsidP="00AA0695">
            <w:pPr>
              <w:ind w:left="-42"/>
              <w:rPr>
                <w:rFonts w:ascii="Times New Roman" w:hAnsi="Times New Roman" w:cs="Times New Roman"/>
                <w:sz w:val="20"/>
                <w:szCs w:val="20"/>
              </w:rPr>
            </w:pPr>
            <w:r w:rsidRPr="008B63BC">
              <w:rPr>
                <w:rFonts w:ascii="Times New Roman" w:hAnsi="Times New Roman" w:cs="Times New Roman"/>
                <w:b/>
                <w:sz w:val="20"/>
                <w:szCs w:val="20"/>
              </w:rPr>
              <w:t>Perception &amp; understanding</w:t>
            </w:r>
            <w:r w:rsidRPr="008B63BC">
              <w:rPr>
                <w:rFonts w:ascii="Times New Roman" w:hAnsi="Times New Roman" w:cs="Times New Roman"/>
                <w:sz w:val="20"/>
                <w:szCs w:val="20"/>
              </w:rPr>
              <w:t xml:space="preserve"> </w:t>
            </w:r>
          </w:p>
        </w:tc>
        <w:tc>
          <w:tcPr>
            <w:tcW w:w="5528" w:type="dxa"/>
          </w:tcPr>
          <w:p w:rsidR="004E6E60" w:rsidRPr="008B63BC" w:rsidRDefault="004E6E60"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Producer groups encouraged to collaborate in sector groups</w:t>
            </w:r>
          </w:p>
          <w:p w:rsidR="0080317D" w:rsidRPr="008B63BC" w:rsidRDefault="0080317D"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Create clearer links between RDP and wider government strategic objectives (e.g. health, planning)</w:t>
            </w:r>
          </w:p>
        </w:tc>
        <w:tc>
          <w:tcPr>
            <w:tcW w:w="5954" w:type="dxa"/>
          </w:tcPr>
          <w:p w:rsidR="002A3A7C" w:rsidRPr="008945B7" w:rsidRDefault="004E6E60" w:rsidP="008945B7">
            <w:pPr>
              <w:pStyle w:val="ListParagraph"/>
              <w:numPr>
                <w:ilvl w:val="0"/>
                <w:numId w:val="14"/>
              </w:numPr>
              <w:ind w:left="317" w:hanging="218"/>
              <w:rPr>
                <w:rFonts w:ascii="Times New Roman" w:hAnsi="Times New Roman" w:cs="Times New Roman"/>
                <w:sz w:val="20"/>
                <w:szCs w:val="20"/>
              </w:rPr>
            </w:pPr>
            <w:r w:rsidRPr="008B63BC">
              <w:rPr>
                <w:rFonts w:ascii="Times New Roman" w:hAnsi="Times New Roman" w:cs="Times New Roman"/>
                <w:sz w:val="20"/>
                <w:szCs w:val="20"/>
              </w:rPr>
              <w:t xml:space="preserve">Increased awareness of activity by sectors, increased trust among individuals, groups </w:t>
            </w:r>
            <w:r w:rsidR="004C3C96">
              <w:rPr>
                <w:rFonts w:ascii="Times New Roman" w:hAnsi="Times New Roman" w:cs="Times New Roman"/>
                <w:sz w:val="20"/>
                <w:szCs w:val="20"/>
              </w:rPr>
              <w:t>and</w:t>
            </w:r>
            <w:r w:rsidRPr="008B63BC">
              <w:rPr>
                <w:rFonts w:ascii="Times New Roman" w:hAnsi="Times New Roman" w:cs="Times New Roman"/>
                <w:sz w:val="20"/>
                <w:szCs w:val="20"/>
              </w:rPr>
              <w:t xml:space="preserve"> government</w:t>
            </w:r>
            <w:r w:rsidR="008945B7">
              <w:rPr>
                <w:rFonts w:ascii="Times New Roman" w:hAnsi="Times New Roman" w:cs="Times New Roman"/>
                <w:sz w:val="20"/>
                <w:szCs w:val="20"/>
              </w:rPr>
              <w:t xml:space="preserve"> e</w:t>
            </w:r>
            <w:r w:rsidR="004C3C96" w:rsidRPr="008945B7">
              <w:rPr>
                <w:rFonts w:ascii="Times New Roman" w:hAnsi="Times New Roman" w:cs="Times New Roman"/>
                <w:sz w:val="20"/>
                <w:szCs w:val="20"/>
              </w:rPr>
              <w:t>ncourag</w:t>
            </w:r>
            <w:r w:rsidR="00DD181C" w:rsidRPr="008945B7">
              <w:rPr>
                <w:rFonts w:ascii="Times New Roman" w:hAnsi="Times New Roman" w:cs="Times New Roman"/>
                <w:sz w:val="20"/>
                <w:szCs w:val="20"/>
              </w:rPr>
              <w:t>ing</w:t>
            </w:r>
            <w:r w:rsidR="004C3C96" w:rsidRPr="008945B7">
              <w:rPr>
                <w:rFonts w:ascii="Times New Roman" w:hAnsi="Times New Roman" w:cs="Times New Roman"/>
                <w:sz w:val="20"/>
                <w:szCs w:val="20"/>
              </w:rPr>
              <w:t xml:space="preserve"> more</w:t>
            </w:r>
            <w:r w:rsidR="00DD181C" w:rsidRPr="008945B7">
              <w:rPr>
                <w:rFonts w:ascii="Times New Roman" w:hAnsi="Times New Roman" w:cs="Times New Roman"/>
                <w:sz w:val="20"/>
                <w:szCs w:val="20"/>
              </w:rPr>
              <w:t xml:space="preserve"> applications from target sector</w:t>
            </w:r>
            <w:r w:rsidR="008945B7">
              <w:rPr>
                <w:rFonts w:ascii="Times New Roman" w:hAnsi="Times New Roman" w:cs="Times New Roman"/>
                <w:sz w:val="20"/>
                <w:szCs w:val="20"/>
              </w:rPr>
              <w:t>s</w:t>
            </w:r>
          </w:p>
        </w:tc>
      </w:tr>
      <w:tr w:rsidR="004E6E60" w:rsidRPr="008B63BC" w:rsidTr="00AA0695">
        <w:tc>
          <w:tcPr>
            <w:tcW w:w="1668" w:type="dxa"/>
          </w:tcPr>
          <w:p w:rsidR="004E6E60" w:rsidRPr="008B63BC" w:rsidRDefault="004E6E60" w:rsidP="00AA0695">
            <w:pPr>
              <w:rPr>
                <w:rFonts w:ascii="Times New Roman" w:hAnsi="Times New Roman" w:cs="Times New Roman"/>
                <w:i/>
                <w:sz w:val="20"/>
                <w:szCs w:val="20"/>
              </w:rPr>
            </w:pPr>
            <w:r w:rsidRPr="008B63BC">
              <w:rPr>
                <w:rFonts w:ascii="Times New Roman" w:hAnsi="Times New Roman" w:cs="Times New Roman"/>
                <w:b/>
                <w:sz w:val="20"/>
                <w:szCs w:val="20"/>
              </w:rPr>
              <w:t>Application</w:t>
            </w:r>
            <w:r w:rsidRPr="008B63BC">
              <w:rPr>
                <w:rFonts w:ascii="Times New Roman" w:hAnsi="Times New Roman" w:cs="Times New Roman"/>
                <w:i/>
                <w:sz w:val="20"/>
                <w:szCs w:val="20"/>
              </w:rPr>
              <w:t xml:space="preserve"> </w:t>
            </w:r>
          </w:p>
          <w:p w:rsidR="004E6E60" w:rsidRPr="008B63BC" w:rsidRDefault="004E6E60" w:rsidP="00AA0695">
            <w:pPr>
              <w:ind w:left="66"/>
              <w:rPr>
                <w:rFonts w:ascii="Times New Roman" w:hAnsi="Times New Roman" w:cs="Times New Roman"/>
                <w:sz w:val="20"/>
                <w:szCs w:val="20"/>
              </w:rPr>
            </w:pPr>
          </w:p>
        </w:tc>
        <w:tc>
          <w:tcPr>
            <w:tcW w:w="5528" w:type="dxa"/>
          </w:tcPr>
          <w:p w:rsidR="0080317D" w:rsidRPr="008B63BC" w:rsidRDefault="004E6E60"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Simplified application procedures with higher level of</w:t>
            </w:r>
            <w:r w:rsidR="00DD181C">
              <w:rPr>
                <w:rFonts w:ascii="Times New Roman" w:hAnsi="Times New Roman" w:cs="Times New Roman"/>
                <w:sz w:val="20"/>
                <w:szCs w:val="20"/>
              </w:rPr>
              <w:t xml:space="preserve"> ongoing</w:t>
            </w:r>
            <w:r w:rsidRPr="008B63BC">
              <w:rPr>
                <w:rFonts w:ascii="Times New Roman" w:hAnsi="Times New Roman" w:cs="Times New Roman"/>
                <w:sz w:val="20"/>
                <w:szCs w:val="20"/>
              </w:rPr>
              <w:t xml:space="preserve"> support / facilitation (‘one-stop-shop’ for advisory support) </w:t>
            </w:r>
          </w:p>
          <w:p w:rsidR="0080317D" w:rsidRPr="008B63BC" w:rsidRDefault="008945B7" w:rsidP="00AA0695">
            <w:pPr>
              <w:pStyle w:val="ListParagraph"/>
              <w:numPr>
                <w:ilvl w:val="0"/>
                <w:numId w:val="13"/>
              </w:numPr>
              <w:ind w:left="327" w:hanging="218"/>
              <w:rPr>
                <w:rFonts w:ascii="Times New Roman" w:hAnsi="Times New Roman" w:cs="Times New Roman"/>
                <w:sz w:val="20"/>
                <w:szCs w:val="20"/>
              </w:rPr>
            </w:pPr>
            <w:r>
              <w:rPr>
                <w:rFonts w:ascii="Times New Roman" w:hAnsi="Times New Roman" w:cs="Times New Roman"/>
                <w:sz w:val="20"/>
                <w:szCs w:val="20"/>
              </w:rPr>
              <w:t>A</w:t>
            </w:r>
            <w:r w:rsidR="004E6E60" w:rsidRPr="008B63BC">
              <w:rPr>
                <w:rFonts w:ascii="Times New Roman" w:hAnsi="Times New Roman" w:cs="Times New Roman"/>
                <w:sz w:val="20"/>
                <w:szCs w:val="20"/>
              </w:rPr>
              <w:t>pplication process with</w:t>
            </w:r>
            <w:r w:rsidR="00DD181C">
              <w:rPr>
                <w:rFonts w:ascii="Times New Roman" w:hAnsi="Times New Roman" w:cs="Times New Roman"/>
                <w:sz w:val="20"/>
                <w:szCs w:val="20"/>
              </w:rPr>
              <w:t xml:space="preserve"> quarterly approval panels, written</w:t>
            </w:r>
            <w:r w:rsidR="004E6E60" w:rsidRPr="008B63BC">
              <w:rPr>
                <w:rFonts w:ascii="Times New Roman" w:hAnsi="Times New Roman" w:cs="Times New Roman"/>
                <w:sz w:val="20"/>
                <w:szCs w:val="20"/>
              </w:rPr>
              <w:t xml:space="preserve"> feedback and potential to re-apply if refused </w:t>
            </w:r>
          </w:p>
          <w:p w:rsidR="004E6E60" w:rsidRPr="008B63BC" w:rsidRDefault="004E6E60"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 xml:space="preserve">Stakeholder bodies involved in oversight of applications through advisory role </w:t>
            </w:r>
            <w:r w:rsidR="00DD181C">
              <w:rPr>
                <w:rFonts w:ascii="Times New Roman" w:hAnsi="Times New Roman" w:cs="Times New Roman"/>
                <w:sz w:val="20"/>
                <w:szCs w:val="20"/>
              </w:rPr>
              <w:t>o</w:t>
            </w:r>
            <w:r w:rsidR="008945B7">
              <w:rPr>
                <w:rFonts w:ascii="Times New Roman" w:hAnsi="Times New Roman" w:cs="Times New Roman"/>
                <w:sz w:val="20"/>
                <w:szCs w:val="20"/>
              </w:rPr>
              <w:t>n selection panels</w:t>
            </w:r>
          </w:p>
        </w:tc>
        <w:tc>
          <w:tcPr>
            <w:tcW w:w="5954" w:type="dxa"/>
          </w:tcPr>
          <w:p w:rsidR="008B63BC" w:rsidRPr="008B63BC" w:rsidRDefault="004E6E60" w:rsidP="00AA0695">
            <w:pPr>
              <w:pStyle w:val="ListParagraph"/>
              <w:numPr>
                <w:ilvl w:val="0"/>
                <w:numId w:val="14"/>
              </w:numPr>
              <w:ind w:left="317" w:hanging="218"/>
              <w:rPr>
                <w:rFonts w:ascii="Times New Roman" w:hAnsi="Times New Roman" w:cs="Times New Roman"/>
                <w:sz w:val="20"/>
                <w:szCs w:val="20"/>
              </w:rPr>
            </w:pPr>
            <w:r w:rsidRPr="008B63BC">
              <w:rPr>
                <w:rFonts w:ascii="Times New Roman" w:hAnsi="Times New Roman" w:cs="Times New Roman"/>
                <w:sz w:val="20"/>
                <w:szCs w:val="20"/>
              </w:rPr>
              <w:t>Lower cost, lower risk application</w:t>
            </w:r>
            <w:r w:rsidR="00696DB1">
              <w:rPr>
                <w:rFonts w:ascii="Times New Roman" w:hAnsi="Times New Roman" w:cs="Times New Roman"/>
                <w:sz w:val="20"/>
                <w:szCs w:val="20"/>
              </w:rPr>
              <w:t xml:space="preserve"> process</w:t>
            </w:r>
            <w:r w:rsidRPr="008B63BC">
              <w:rPr>
                <w:rFonts w:ascii="Times New Roman" w:hAnsi="Times New Roman" w:cs="Times New Roman"/>
                <w:sz w:val="20"/>
                <w:szCs w:val="20"/>
              </w:rPr>
              <w:t xml:space="preserve"> means increasingly higher quality applications from</w:t>
            </w:r>
            <w:r w:rsidR="008B63BC" w:rsidRPr="008B63BC">
              <w:rPr>
                <w:rFonts w:ascii="Times New Roman" w:hAnsi="Times New Roman" w:cs="Times New Roman"/>
                <w:sz w:val="20"/>
                <w:szCs w:val="20"/>
              </w:rPr>
              <w:t xml:space="preserve"> </w:t>
            </w:r>
            <w:r w:rsidR="00DD181C">
              <w:rPr>
                <w:rFonts w:ascii="Times New Roman" w:hAnsi="Times New Roman" w:cs="Times New Roman"/>
                <w:sz w:val="20"/>
                <w:szCs w:val="20"/>
              </w:rPr>
              <w:t xml:space="preserve">a </w:t>
            </w:r>
            <w:r w:rsidR="008B63BC" w:rsidRPr="008B63BC">
              <w:rPr>
                <w:rFonts w:ascii="Times New Roman" w:hAnsi="Times New Roman" w:cs="Times New Roman"/>
                <w:sz w:val="20"/>
                <w:szCs w:val="20"/>
              </w:rPr>
              <w:t>wider range of beneficiaries</w:t>
            </w:r>
          </w:p>
          <w:p w:rsidR="002A3A7C" w:rsidRPr="008B63BC" w:rsidRDefault="008B63BC" w:rsidP="00AA0695">
            <w:pPr>
              <w:pStyle w:val="ListParagraph"/>
              <w:numPr>
                <w:ilvl w:val="0"/>
                <w:numId w:val="14"/>
              </w:numPr>
              <w:ind w:left="317" w:hanging="218"/>
              <w:rPr>
                <w:rFonts w:ascii="Times New Roman" w:hAnsi="Times New Roman" w:cs="Times New Roman"/>
                <w:sz w:val="20"/>
                <w:szCs w:val="20"/>
              </w:rPr>
            </w:pPr>
            <w:r w:rsidRPr="008B63BC">
              <w:rPr>
                <w:rFonts w:ascii="Times New Roman" w:hAnsi="Times New Roman" w:cs="Times New Roman"/>
                <w:sz w:val="20"/>
                <w:szCs w:val="20"/>
              </w:rPr>
              <w:t>Faster</w:t>
            </w:r>
            <w:r w:rsidR="004E6E60" w:rsidRPr="008B63BC">
              <w:rPr>
                <w:rFonts w:ascii="Times New Roman" w:hAnsi="Times New Roman" w:cs="Times New Roman"/>
                <w:sz w:val="20"/>
                <w:szCs w:val="20"/>
              </w:rPr>
              <w:t xml:space="preserve"> and more transparent decision</w:t>
            </w:r>
            <w:r w:rsidR="00DD181C">
              <w:rPr>
                <w:rFonts w:ascii="Times New Roman" w:hAnsi="Times New Roman" w:cs="Times New Roman"/>
                <w:sz w:val="20"/>
                <w:szCs w:val="20"/>
              </w:rPr>
              <w:t>-</w:t>
            </w:r>
            <w:r w:rsidR="004E6E60" w:rsidRPr="008B63BC">
              <w:rPr>
                <w:rFonts w:ascii="Times New Roman" w:hAnsi="Times New Roman" w:cs="Times New Roman"/>
                <w:sz w:val="20"/>
                <w:szCs w:val="20"/>
              </w:rPr>
              <w:t>making</w:t>
            </w:r>
            <w:r w:rsidR="00DD181C">
              <w:rPr>
                <w:rFonts w:ascii="Times New Roman" w:hAnsi="Times New Roman" w:cs="Times New Roman"/>
                <w:sz w:val="20"/>
                <w:szCs w:val="20"/>
              </w:rPr>
              <w:t xml:space="preserve"> with a right of appeal/chance to reapply, fosters trust and creates a learning process for beneficiaries, further improving quality of applications</w:t>
            </w:r>
            <w:r w:rsidR="004E6E60" w:rsidRPr="008B63BC">
              <w:rPr>
                <w:rFonts w:ascii="Times New Roman" w:hAnsi="Times New Roman" w:cs="Times New Roman"/>
                <w:sz w:val="20"/>
                <w:szCs w:val="20"/>
              </w:rPr>
              <w:t xml:space="preserve"> </w:t>
            </w:r>
          </w:p>
          <w:p w:rsidR="004E6E60" w:rsidRPr="008B63BC" w:rsidRDefault="004E6E60" w:rsidP="008945B7">
            <w:pPr>
              <w:pStyle w:val="ListParagraph"/>
              <w:numPr>
                <w:ilvl w:val="0"/>
                <w:numId w:val="14"/>
              </w:numPr>
              <w:ind w:left="317" w:hanging="218"/>
              <w:rPr>
                <w:rFonts w:ascii="Times New Roman" w:hAnsi="Times New Roman" w:cs="Times New Roman"/>
                <w:sz w:val="20"/>
                <w:szCs w:val="20"/>
              </w:rPr>
            </w:pPr>
            <w:r w:rsidRPr="008B63BC">
              <w:rPr>
                <w:rFonts w:ascii="Times New Roman" w:hAnsi="Times New Roman" w:cs="Times New Roman"/>
                <w:sz w:val="20"/>
                <w:szCs w:val="20"/>
              </w:rPr>
              <w:t xml:space="preserve">Greater </w:t>
            </w:r>
            <w:r w:rsidR="00DD181C">
              <w:rPr>
                <w:rFonts w:ascii="Times New Roman" w:hAnsi="Times New Roman" w:cs="Times New Roman"/>
                <w:sz w:val="20"/>
                <w:szCs w:val="20"/>
              </w:rPr>
              <w:t xml:space="preserve">stakeholder </w:t>
            </w:r>
            <w:r w:rsidRPr="008B63BC">
              <w:rPr>
                <w:rFonts w:ascii="Times New Roman" w:hAnsi="Times New Roman" w:cs="Times New Roman"/>
                <w:sz w:val="20"/>
                <w:szCs w:val="20"/>
              </w:rPr>
              <w:t xml:space="preserve">involvement fosters ‘ownership’ of decisions, increasing trust and concern for outcomes </w:t>
            </w:r>
          </w:p>
        </w:tc>
      </w:tr>
      <w:tr w:rsidR="004E6E60" w:rsidRPr="008B63BC" w:rsidTr="00AA0695">
        <w:tc>
          <w:tcPr>
            <w:tcW w:w="1668" w:type="dxa"/>
          </w:tcPr>
          <w:p w:rsidR="004E6E60" w:rsidRPr="008B63BC" w:rsidRDefault="004E6E60" w:rsidP="00AA0695">
            <w:pPr>
              <w:ind w:left="66"/>
              <w:rPr>
                <w:rFonts w:ascii="Times New Roman" w:hAnsi="Times New Roman" w:cs="Times New Roman"/>
                <w:sz w:val="20"/>
                <w:szCs w:val="20"/>
              </w:rPr>
            </w:pPr>
            <w:r w:rsidRPr="008B63BC">
              <w:rPr>
                <w:rFonts w:ascii="Times New Roman" w:hAnsi="Times New Roman" w:cs="Times New Roman"/>
                <w:b/>
                <w:sz w:val="20"/>
                <w:szCs w:val="20"/>
              </w:rPr>
              <w:t>Negotiating contracts</w:t>
            </w:r>
            <w:r w:rsidRPr="008B63BC">
              <w:rPr>
                <w:rFonts w:ascii="Times New Roman" w:hAnsi="Times New Roman" w:cs="Times New Roman"/>
                <w:b/>
                <w:sz w:val="20"/>
                <w:szCs w:val="20"/>
              </w:rPr>
              <w:tab/>
            </w:r>
            <w:r w:rsidRPr="008B63BC">
              <w:rPr>
                <w:rFonts w:ascii="Times New Roman" w:hAnsi="Times New Roman" w:cs="Times New Roman"/>
                <w:b/>
                <w:sz w:val="20"/>
                <w:szCs w:val="20"/>
              </w:rPr>
              <w:tab/>
            </w:r>
            <w:r w:rsidRPr="008B63BC">
              <w:rPr>
                <w:rFonts w:ascii="Times New Roman" w:hAnsi="Times New Roman" w:cs="Times New Roman"/>
                <w:b/>
                <w:sz w:val="20"/>
                <w:szCs w:val="20"/>
              </w:rPr>
              <w:tab/>
            </w:r>
          </w:p>
        </w:tc>
        <w:tc>
          <w:tcPr>
            <w:tcW w:w="5528" w:type="dxa"/>
          </w:tcPr>
          <w:p w:rsidR="0080317D" w:rsidRPr="008B63BC" w:rsidRDefault="004E6E60"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 xml:space="preserve">Early discussion and involvement of other </w:t>
            </w:r>
            <w:r w:rsidR="00DD181C">
              <w:rPr>
                <w:rFonts w:ascii="Times New Roman" w:hAnsi="Times New Roman" w:cs="Times New Roman"/>
                <w:sz w:val="20"/>
                <w:szCs w:val="20"/>
              </w:rPr>
              <w:t xml:space="preserve">government </w:t>
            </w:r>
            <w:r w:rsidRPr="008B63BC">
              <w:rPr>
                <w:rFonts w:ascii="Times New Roman" w:hAnsi="Times New Roman" w:cs="Times New Roman"/>
                <w:sz w:val="20"/>
                <w:szCs w:val="20"/>
              </w:rPr>
              <w:t xml:space="preserve">departments </w:t>
            </w:r>
            <w:r w:rsidR="00DD181C">
              <w:rPr>
                <w:rFonts w:ascii="Times New Roman" w:hAnsi="Times New Roman" w:cs="Times New Roman"/>
                <w:sz w:val="20"/>
                <w:szCs w:val="20"/>
              </w:rPr>
              <w:t xml:space="preserve">(e.g. planning authority) </w:t>
            </w:r>
            <w:r w:rsidR="003657FD">
              <w:rPr>
                <w:rFonts w:ascii="Times New Roman" w:hAnsi="Times New Roman" w:cs="Times New Roman"/>
                <w:sz w:val="20"/>
                <w:szCs w:val="20"/>
              </w:rPr>
              <w:t xml:space="preserve">to ensure </w:t>
            </w:r>
            <w:r w:rsidR="007711A4">
              <w:rPr>
                <w:rFonts w:ascii="Times New Roman" w:hAnsi="Times New Roman" w:cs="Times New Roman"/>
                <w:sz w:val="20"/>
                <w:szCs w:val="20"/>
              </w:rPr>
              <w:t>their</w:t>
            </w:r>
            <w:r w:rsidR="003657FD">
              <w:rPr>
                <w:rFonts w:ascii="Times New Roman" w:hAnsi="Times New Roman" w:cs="Times New Roman"/>
                <w:sz w:val="20"/>
                <w:szCs w:val="20"/>
              </w:rPr>
              <w:t xml:space="preserve"> support for cooperative and area-wide projects</w:t>
            </w:r>
          </w:p>
          <w:p w:rsidR="004E6E60" w:rsidRPr="00AA0695" w:rsidRDefault="0080317D"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Creation of partnerships to run co</w:t>
            </w:r>
            <w:r w:rsidR="004E6E60" w:rsidRPr="008B63BC">
              <w:rPr>
                <w:rFonts w:ascii="Times New Roman" w:hAnsi="Times New Roman" w:cs="Times New Roman"/>
                <w:sz w:val="20"/>
                <w:szCs w:val="20"/>
              </w:rPr>
              <w:t>ordinated schemes (for agri-environment-climate</w:t>
            </w:r>
            <w:r w:rsidR="00DD181C">
              <w:rPr>
                <w:rFonts w:ascii="Times New Roman" w:hAnsi="Times New Roman" w:cs="Times New Roman"/>
                <w:sz w:val="20"/>
                <w:szCs w:val="20"/>
              </w:rPr>
              <w:t xml:space="preserve"> works,</w:t>
            </w:r>
            <w:r w:rsidR="004E6E60" w:rsidRPr="008B63BC">
              <w:rPr>
                <w:rFonts w:ascii="Times New Roman" w:hAnsi="Times New Roman" w:cs="Times New Roman"/>
                <w:sz w:val="20"/>
                <w:szCs w:val="20"/>
              </w:rPr>
              <w:t xml:space="preserve"> </w:t>
            </w:r>
            <w:r w:rsidR="00DD181C">
              <w:rPr>
                <w:rFonts w:ascii="Times New Roman" w:hAnsi="Times New Roman" w:cs="Times New Roman"/>
                <w:sz w:val="20"/>
                <w:szCs w:val="20"/>
              </w:rPr>
              <w:t xml:space="preserve">and </w:t>
            </w:r>
            <w:r w:rsidR="004E6E60" w:rsidRPr="008B63BC">
              <w:rPr>
                <w:rFonts w:ascii="Times New Roman" w:hAnsi="Times New Roman" w:cs="Times New Roman"/>
                <w:sz w:val="20"/>
                <w:szCs w:val="20"/>
              </w:rPr>
              <w:t xml:space="preserve">sector supply chains) </w:t>
            </w:r>
          </w:p>
        </w:tc>
        <w:tc>
          <w:tcPr>
            <w:tcW w:w="5954" w:type="dxa"/>
          </w:tcPr>
          <w:p w:rsidR="00A9164B" w:rsidRDefault="00171FE3" w:rsidP="00AA0695">
            <w:pPr>
              <w:pStyle w:val="ListParagraph"/>
              <w:numPr>
                <w:ilvl w:val="0"/>
                <w:numId w:val="13"/>
              </w:numPr>
              <w:ind w:left="317" w:hanging="142"/>
              <w:rPr>
                <w:rFonts w:ascii="Times New Roman" w:hAnsi="Times New Roman" w:cs="Times New Roman"/>
                <w:sz w:val="20"/>
                <w:szCs w:val="20"/>
              </w:rPr>
            </w:pPr>
            <w:r w:rsidRPr="00171FE3">
              <w:rPr>
                <w:rFonts w:ascii="Times New Roman" w:hAnsi="Times New Roman" w:cs="Times New Roman"/>
                <w:sz w:val="20"/>
                <w:szCs w:val="20"/>
              </w:rPr>
              <w:t>Changes to planning policy</w:t>
            </w:r>
            <w:r w:rsidR="008945B7">
              <w:rPr>
                <w:rFonts w:ascii="Times New Roman" w:hAnsi="Times New Roman" w:cs="Times New Roman"/>
                <w:sz w:val="20"/>
                <w:szCs w:val="20"/>
              </w:rPr>
              <w:t xml:space="preserve"> acknowledge and support</w:t>
            </w:r>
            <w:r w:rsidRPr="00171FE3">
              <w:rPr>
                <w:rFonts w:ascii="Times New Roman" w:hAnsi="Times New Roman" w:cs="Times New Roman"/>
                <w:sz w:val="20"/>
                <w:szCs w:val="20"/>
              </w:rPr>
              <w:t xml:space="preserve"> </w:t>
            </w:r>
            <w:r w:rsidR="008945B7">
              <w:rPr>
                <w:rFonts w:ascii="Times New Roman" w:hAnsi="Times New Roman" w:cs="Times New Roman"/>
                <w:sz w:val="20"/>
                <w:szCs w:val="20"/>
              </w:rPr>
              <w:t>RDP goals, reducing</w:t>
            </w:r>
            <w:r w:rsidRPr="00171FE3">
              <w:rPr>
                <w:rFonts w:ascii="Times New Roman" w:hAnsi="Times New Roman" w:cs="Times New Roman"/>
                <w:sz w:val="20"/>
                <w:szCs w:val="20"/>
              </w:rPr>
              <w:t xml:space="preserve"> beneficiary uncertainty/ delay </w:t>
            </w:r>
            <w:r w:rsidR="008945B7">
              <w:rPr>
                <w:rFonts w:ascii="Times New Roman" w:hAnsi="Times New Roman" w:cs="Times New Roman"/>
                <w:sz w:val="20"/>
                <w:szCs w:val="20"/>
              </w:rPr>
              <w:t>for</w:t>
            </w:r>
            <w:r w:rsidR="00AB072C" w:rsidRPr="00171FE3">
              <w:rPr>
                <w:rFonts w:ascii="Times New Roman" w:hAnsi="Times New Roman" w:cs="Times New Roman"/>
                <w:sz w:val="20"/>
                <w:szCs w:val="20"/>
              </w:rPr>
              <w:t xml:space="preserve"> </w:t>
            </w:r>
            <w:r w:rsidRPr="00171FE3">
              <w:rPr>
                <w:rFonts w:ascii="Times New Roman" w:hAnsi="Times New Roman" w:cs="Times New Roman"/>
                <w:sz w:val="20"/>
                <w:szCs w:val="20"/>
              </w:rPr>
              <w:t>approved projects</w:t>
            </w:r>
          </w:p>
          <w:p w:rsidR="00A75829" w:rsidRDefault="00171FE3" w:rsidP="008945B7">
            <w:pPr>
              <w:pStyle w:val="ListParagraph"/>
              <w:numPr>
                <w:ilvl w:val="0"/>
                <w:numId w:val="13"/>
              </w:numPr>
              <w:ind w:left="317" w:hanging="283"/>
              <w:rPr>
                <w:rFonts w:ascii="Times New Roman" w:hAnsi="Times New Roman" w:cs="Times New Roman"/>
                <w:sz w:val="20"/>
                <w:szCs w:val="20"/>
              </w:rPr>
            </w:pPr>
            <w:r w:rsidRPr="00171FE3">
              <w:rPr>
                <w:rFonts w:ascii="Times New Roman" w:hAnsi="Times New Roman" w:cs="Times New Roman"/>
                <w:sz w:val="20"/>
                <w:szCs w:val="20"/>
              </w:rPr>
              <w:t xml:space="preserve">Area-wide or sector-wide projects </w:t>
            </w:r>
            <w:r w:rsidR="00AB072C">
              <w:rPr>
                <w:rFonts w:ascii="Times New Roman" w:hAnsi="Times New Roman" w:cs="Times New Roman"/>
                <w:sz w:val="20"/>
                <w:szCs w:val="20"/>
              </w:rPr>
              <w:t xml:space="preserve">are </w:t>
            </w:r>
            <w:r w:rsidRPr="00171FE3">
              <w:rPr>
                <w:rFonts w:ascii="Times New Roman" w:hAnsi="Times New Roman" w:cs="Times New Roman"/>
                <w:sz w:val="20"/>
                <w:szCs w:val="20"/>
              </w:rPr>
              <w:t>more targeted and cost</w:t>
            </w:r>
            <w:r w:rsidR="008945B7">
              <w:rPr>
                <w:rFonts w:ascii="Times New Roman" w:hAnsi="Times New Roman" w:cs="Times New Roman"/>
                <w:sz w:val="20"/>
                <w:szCs w:val="20"/>
              </w:rPr>
              <w:t>-</w:t>
            </w:r>
            <w:r w:rsidRPr="00171FE3">
              <w:rPr>
                <w:rFonts w:ascii="Times New Roman" w:hAnsi="Times New Roman" w:cs="Times New Roman"/>
                <w:sz w:val="20"/>
                <w:szCs w:val="20"/>
              </w:rPr>
              <w:t xml:space="preserve">effective; delivering multiple policy goals; greater added-value, and economies of scale and scope </w:t>
            </w:r>
          </w:p>
        </w:tc>
      </w:tr>
      <w:tr w:rsidR="004E6E60" w:rsidRPr="008B63BC" w:rsidTr="00AA0695">
        <w:trPr>
          <w:trHeight w:val="906"/>
        </w:trPr>
        <w:tc>
          <w:tcPr>
            <w:tcW w:w="1668" w:type="dxa"/>
          </w:tcPr>
          <w:p w:rsidR="004E6E60" w:rsidRPr="008B63BC" w:rsidRDefault="004E6E60" w:rsidP="00AA0695">
            <w:pPr>
              <w:ind w:left="66"/>
              <w:rPr>
                <w:rFonts w:ascii="Times New Roman" w:hAnsi="Times New Roman" w:cs="Times New Roman"/>
                <w:b/>
                <w:sz w:val="20"/>
                <w:szCs w:val="20"/>
              </w:rPr>
            </w:pPr>
            <w:r w:rsidRPr="008B63BC">
              <w:rPr>
                <w:rFonts w:ascii="Times New Roman" w:hAnsi="Times New Roman" w:cs="Times New Roman"/>
                <w:b/>
                <w:sz w:val="20"/>
                <w:szCs w:val="20"/>
              </w:rPr>
              <w:t xml:space="preserve">Management </w:t>
            </w:r>
          </w:p>
        </w:tc>
        <w:tc>
          <w:tcPr>
            <w:tcW w:w="5528" w:type="dxa"/>
          </w:tcPr>
          <w:p w:rsidR="0080317D" w:rsidRPr="008B63BC" w:rsidRDefault="004E6E60"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Fund a ‘rural hub’ of advice and tec</w:t>
            </w:r>
            <w:r w:rsidR="008B63BC">
              <w:rPr>
                <w:rFonts w:ascii="Times New Roman" w:hAnsi="Times New Roman" w:cs="Times New Roman"/>
                <w:sz w:val="20"/>
                <w:szCs w:val="20"/>
              </w:rPr>
              <w:t>hnical support</w:t>
            </w:r>
            <w:r w:rsidR="00DD181C">
              <w:rPr>
                <w:rFonts w:ascii="Times New Roman" w:hAnsi="Times New Roman" w:cs="Times New Roman"/>
                <w:sz w:val="20"/>
                <w:szCs w:val="20"/>
              </w:rPr>
              <w:t xml:space="preserve"> using RDP money</w:t>
            </w:r>
            <w:r w:rsidR="008945B7">
              <w:rPr>
                <w:rFonts w:ascii="Times New Roman" w:hAnsi="Times New Roman" w:cs="Times New Roman"/>
                <w:sz w:val="20"/>
                <w:szCs w:val="20"/>
              </w:rPr>
              <w:t>, established early on in the programme period</w:t>
            </w:r>
          </w:p>
          <w:p w:rsidR="0080317D" w:rsidRPr="008B63BC" w:rsidRDefault="0080317D"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 xml:space="preserve">Utilise </w:t>
            </w:r>
            <w:r w:rsidR="004E6E60" w:rsidRPr="008B63BC">
              <w:rPr>
                <w:rFonts w:ascii="Times New Roman" w:hAnsi="Times New Roman" w:cs="Times New Roman"/>
                <w:sz w:val="20"/>
                <w:szCs w:val="20"/>
              </w:rPr>
              <w:t>continuous open call f</w:t>
            </w:r>
            <w:r w:rsidRPr="008B63BC">
              <w:rPr>
                <w:rFonts w:ascii="Times New Roman" w:hAnsi="Times New Roman" w:cs="Times New Roman"/>
                <w:sz w:val="20"/>
                <w:szCs w:val="20"/>
              </w:rPr>
              <w:t>or multi-measure schemes</w:t>
            </w:r>
          </w:p>
          <w:p w:rsidR="004E6E60" w:rsidRPr="008B63BC" w:rsidRDefault="004E6E60" w:rsidP="008945B7">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MA and stakeholders meet regularly to discuss funding decisions</w:t>
            </w:r>
          </w:p>
        </w:tc>
        <w:tc>
          <w:tcPr>
            <w:tcW w:w="5954" w:type="dxa"/>
          </w:tcPr>
          <w:p w:rsidR="002A3A7C" w:rsidRPr="00AB072C" w:rsidRDefault="008945B7" w:rsidP="00AA0695">
            <w:pPr>
              <w:pStyle w:val="ListParagraph"/>
              <w:numPr>
                <w:ilvl w:val="0"/>
                <w:numId w:val="14"/>
              </w:numPr>
              <w:spacing w:after="200"/>
              <w:ind w:left="317" w:hanging="218"/>
              <w:rPr>
                <w:rFonts w:ascii="Times New Roman" w:hAnsi="Times New Roman" w:cs="Times New Roman"/>
                <w:sz w:val="20"/>
                <w:szCs w:val="20"/>
              </w:rPr>
            </w:pPr>
            <w:r>
              <w:rPr>
                <w:rFonts w:ascii="Times New Roman" w:hAnsi="Times New Roman" w:cs="Times New Roman"/>
                <w:sz w:val="20"/>
                <w:szCs w:val="20"/>
              </w:rPr>
              <w:t>R</w:t>
            </w:r>
            <w:r w:rsidR="004E6E60" w:rsidRPr="00AB072C">
              <w:rPr>
                <w:rFonts w:ascii="Times New Roman" w:hAnsi="Times New Roman" w:cs="Times New Roman"/>
                <w:sz w:val="20"/>
                <w:szCs w:val="20"/>
              </w:rPr>
              <w:t>e</w:t>
            </w:r>
            <w:r w:rsidR="002A3A7C" w:rsidRPr="00AB072C">
              <w:rPr>
                <w:rFonts w:ascii="Times New Roman" w:hAnsi="Times New Roman" w:cs="Times New Roman"/>
                <w:sz w:val="20"/>
                <w:szCs w:val="20"/>
              </w:rPr>
              <w:t xml:space="preserve">duce </w:t>
            </w:r>
            <w:r w:rsidR="004E6E60" w:rsidRPr="00AB072C">
              <w:rPr>
                <w:rFonts w:ascii="Times New Roman" w:hAnsi="Times New Roman" w:cs="Times New Roman"/>
                <w:sz w:val="20"/>
                <w:szCs w:val="20"/>
              </w:rPr>
              <w:t xml:space="preserve">burden </w:t>
            </w:r>
            <w:r w:rsidR="00AB072C" w:rsidRPr="00AB072C">
              <w:rPr>
                <w:rFonts w:ascii="Times New Roman" w:hAnsi="Times New Roman" w:cs="Times New Roman"/>
                <w:sz w:val="20"/>
                <w:szCs w:val="20"/>
              </w:rPr>
              <w:t xml:space="preserve">of </w:t>
            </w:r>
            <w:r w:rsidR="004E6E60" w:rsidRPr="00AB072C">
              <w:rPr>
                <w:rFonts w:ascii="Times New Roman" w:hAnsi="Times New Roman" w:cs="Times New Roman"/>
                <w:sz w:val="20"/>
                <w:szCs w:val="20"/>
              </w:rPr>
              <w:t>delivery support for MA &amp; PA teams</w:t>
            </w:r>
            <w:r w:rsidR="00AB072C" w:rsidRPr="00AB072C">
              <w:rPr>
                <w:rFonts w:ascii="Times New Roman" w:hAnsi="Times New Roman" w:cs="Times New Roman"/>
                <w:sz w:val="20"/>
                <w:szCs w:val="20"/>
              </w:rPr>
              <w:t xml:space="preserve">; </w:t>
            </w:r>
            <w:r w:rsidR="00AB072C">
              <w:rPr>
                <w:rFonts w:ascii="Times New Roman" w:hAnsi="Times New Roman" w:cs="Times New Roman"/>
                <w:sz w:val="20"/>
                <w:szCs w:val="20"/>
              </w:rPr>
              <w:t>c</w:t>
            </w:r>
            <w:r w:rsidR="00AB072C" w:rsidRPr="00AB072C">
              <w:rPr>
                <w:rFonts w:ascii="Times New Roman" w:hAnsi="Times New Roman" w:cs="Times New Roman"/>
                <w:sz w:val="20"/>
                <w:szCs w:val="20"/>
              </w:rPr>
              <w:t>entralised</w:t>
            </w:r>
            <w:r w:rsidR="00686AF6" w:rsidRPr="00AB072C">
              <w:rPr>
                <w:rFonts w:ascii="Times New Roman" w:hAnsi="Times New Roman" w:cs="Times New Roman"/>
                <w:sz w:val="20"/>
                <w:szCs w:val="20"/>
              </w:rPr>
              <w:t xml:space="preserve"> s</w:t>
            </w:r>
            <w:r w:rsidR="00171FE3" w:rsidRPr="00AB072C">
              <w:rPr>
                <w:rFonts w:ascii="Times New Roman" w:hAnsi="Times New Roman" w:cs="Times New Roman"/>
                <w:sz w:val="20"/>
                <w:szCs w:val="20"/>
              </w:rPr>
              <w:t>upport services enhance MA capacity</w:t>
            </w:r>
            <w:r w:rsidR="00686AF6" w:rsidRPr="00AB072C">
              <w:rPr>
                <w:rFonts w:ascii="Times New Roman" w:hAnsi="Times New Roman" w:cs="Times New Roman"/>
                <w:sz w:val="20"/>
                <w:szCs w:val="20"/>
              </w:rPr>
              <w:t xml:space="preserve"> to </w:t>
            </w:r>
            <w:r>
              <w:rPr>
                <w:rFonts w:ascii="Times New Roman" w:hAnsi="Times New Roman" w:cs="Times New Roman"/>
                <w:sz w:val="20"/>
                <w:szCs w:val="20"/>
              </w:rPr>
              <w:t>meet</w:t>
            </w:r>
            <w:r w:rsidR="00686AF6" w:rsidRPr="00AB072C">
              <w:rPr>
                <w:rFonts w:ascii="Times New Roman" w:hAnsi="Times New Roman" w:cs="Times New Roman"/>
                <w:sz w:val="20"/>
                <w:szCs w:val="20"/>
              </w:rPr>
              <w:t xml:space="preserve"> targets</w:t>
            </w:r>
            <w:r w:rsidR="00171FE3" w:rsidRPr="00AB072C">
              <w:rPr>
                <w:rFonts w:ascii="Times New Roman" w:hAnsi="Times New Roman" w:cs="Times New Roman"/>
                <w:sz w:val="20"/>
                <w:szCs w:val="20"/>
              </w:rPr>
              <w:t xml:space="preserve"> </w:t>
            </w:r>
          </w:p>
          <w:p w:rsidR="00686AF6" w:rsidRDefault="00AB072C" w:rsidP="00AA0695">
            <w:pPr>
              <w:pStyle w:val="ListParagraph"/>
              <w:numPr>
                <w:ilvl w:val="0"/>
                <w:numId w:val="14"/>
              </w:numPr>
              <w:ind w:left="317" w:hanging="218"/>
              <w:rPr>
                <w:rFonts w:ascii="Times New Roman" w:hAnsi="Times New Roman" w:cs="Times New Roman"/>
                <w:sz w:val="20"/>
                <w:szCs w:val="20"/>
              </w:rPr>
            </w:pPr>
            <w:r>
              <w:rPr>
                <w:rFonts w:ascii="Times New Roman" w:hAnsi="Times New Roman" w:cs="Times New Roman"/>
                <w:sz w:val="20"/>
                <w:szCs w:val="20"/>
              </w:rPr>
              <w:t>Continuous open call a</w:t>
            </w:r>
            <w:r w:rsidR="004E6E60" w:rsidRPr="008B63BC">
              <w:rPr>
                <w:rFonts w:ascii="Times New Roman" w:hAnsi="Times New Roman" w:cs="Times New Roman"/>
                <w:sz w:val="20"/>
                <w:szCs w:val="20"/>
              </w:rPr>
              <w:t>voids workload peaks and troughs</w:t>
            </w:r>
          </w:p>
          <w:p w:rsidR="004E6E60" w:rsidRPr="008B63BC" w:rsidRDefault="00686AF6" w:rsidP="008945B7">
            <w:pPr>
              <w:pStyle w:val="ListParagraph"/>
              <w:numPr>
                <w:ilvl w:val="0"/>
                <w:numId w:val="14"/>
              </w:numPr>
              <w:ind w:left="317" w:hanging="218"/>
              <w:rPr>
                <w:rFonts w:ascii="Times New Roman" w:hAnsi="Times New Roman" w:cs="Times New Roman"/>
                <w:sz w:val="20"/>
                <w:szCs w:val="20"/>
              </w:rPr>
            </w:pPr>
            <w:r>
              <w:rPr>
                <w:rFonts w:ascii="Times New Roman" w:hAnsi="Times New Roman" w:cs="Times New Roman"/>
                <w:sz w:val="20"/>
                <w:szCs w:val="20"/>
              </w:rPr>
              <w:t xml:space="preserve">Stakeholder knowledge and expertise </w:t>
            </w:r>
            <w:r w:rsidR="008945B7">
              <w:rPr>
                <w:rFonts w:ascii="Times New Roman" w:hAnsi="Times New Roman" w:cs="Times New Roman"/>
                <w:sz w:val="20"/>
                <w:szCs w:val="20"/>
              </w:rPr>
              <w:t xml:space="preserve">inform decision-making </w:t>
            </w:r>
            <w:r>
              <w:rPr>
                <w:rFonts w:ascii="Times New Roman" w:hAnsi="Times New Roman" w:cs="Times New Roman"/>
                <w:sz w:val="20"/>
                <w:szCs w:val="20"/>
              </w:rPr>
              <w:t>without controlling it</w:t>
            </w:r>
          </w:p>
        </w:tc>
      </w:tr>
      <w:tr w:rsidR="004E6E60" w:rsidRPr="008B63BC" w:rsidTr="00AA0695">
        <w:trPr>
          <w:trHeight w:val="605"/>
        </w:trPr>
        <w:tc>
          <w:tcPr>
            <w:tcW w:w="1668" w:type="dxa"/>
          </w:tcPr>
          <w:p w:rsidR="004E6E60" w:rsidRPr="008B63BC" w:rsidRDefault="004E6E60" w:rsidP="00AA0695">
            <w:pPr>
              <w:ind w:left="66"/>
              <w:rPr>
                <w:rFonts w:ascii="Times New Roman" w:hAnsi="Times New Roman" w:cs="Times New Roman"/>
                <w:b/>
                <w:sz w:val="20"/>
                <w:szCs w:val="20"/>
              </w:rPr>
            </w:pPr>
            <w:r w:rsidRPr="008B63BC">
              <w:rPr>
                <w:rFonts w:ascii="Times New Roman" w:hAnsi="Times New Roman" w:cs="Times New Roman"/>
                <w:b/>
                <w:sz w:val="20"/>
                <w:szCs w:val="20"/>
              </w:rPr>
              <w:t>Monitoring &amp; evaluation</w:t>
            </w:r>
          </w:p>
        </w:tc>
        <w:tc>
          <w:tcPr>
            <w:tcW w:w="5528" w:type="dxa"/>
          </w:tcPr>
          <w:p w:rsidR="00A75829" w:rsidRDefault="00AB072C" w:rsidP="008945B7">
            <w:pPr>
              <w:pStyle w:val="ListParagraph"/>
              <w:numPr>
                <w:ilvl w:val="0"/>
                <w:numId w:val="13"/>
              </w:numPr>
              <w:ind w:left="327" w:hanging="218"/>
              <w:rPr>
                <w:rFonts w:ascii="Times New Roman" w:hAnsi="Times New Roman" w:cs="Times New Roman"/>
                <w:sz w:val="20"/>
                <w:szCs w:val="20"/>
              </w:rPr>
            </w:pPr>
            <w:r>
              <w:rPr>
                <w:rFonts w:ascii="Times New Roman" w:hAnsi="Times New Roman" w:cs="Times New Roman"/>
                <w:sz w:val="20"/>
                <w:szCs w:val="20"/>
              </w:rPr>
              <w:t>Greater involvement of stakeholders in pro</w:t>
            </w:r>
            <w:r w:rsidR="00696DB1">
              <w:rPr>
                <w:rFonts w:ascii="Times New Roman" w:hAnsi="Times New Roman" w:cs="Times New Roman"/>
                <w:sz w:val="20"/>
                <w:szCs w:val="20"/>
              </w:rPr>
              <w:t>g</w:t>
            </w:r>
            <w:r>
              <w:rPr>
                <w:rFonts w:ascii="Times New Roman" w:hAnsi="Times New Roman" w:cs="Times New Roman"/>
                <w:sz w:val="20"/>
                <w:szCs w:val="20"/>
              </w:rPr>
              <w:t>ramme design and delivery</w:t>
            </w:r>
          </w:p>
        </w:tc>
        <w:tc>
          <w:tcPr>
            <w:tcW w:w="5954" w:type="dxa"/>
          </w:tcPr>
          <w:p w:rsidR="00AB072C" w:rsidRDefault="008B63BC" w:rsidP="008945B7">
            <w:pPr>
              <w:pStyle w:val="ListParagraph"/>
              <w:numPr>
                <w:ilvl w:val="0"/>
                <w:numId w:val="14"/>
              </w:numPr>
              <w:ind w:left="317" w:hanging="218"/>
              <w:rPr>
                <w:rFonts w:ascii="Times New Roman" w:hAnsi="Times New Roman" w:cs="Times New Roman"/>
                <w:sz w:val="20"/>
                <w:szCs w:val="20"/>
              </w:rPr>
            </w:pPr>
            <w:r w:rsidRPr="008B63BC">
              <w:rPr>
                <w:rFonts w:ascii="Times New Roman" w:hAnsi="Times New Roman" w:cs="Times New Roman"/>
                <w:sz w:val="20"/>
                <w:szCs w:val="20"/>
              </w:rPr>
              <w:t>Potential r</w:t>
            </w:r>
            <w:r w:rsidR="004E6E60" w:rsidRPr="008B63BC">
              <w:rPr>
                <w:rFonts w:ascii="Times New Roman" w:hAnsi="Times New Roman" w:cs="Times New Roman"/>
                <w:sz w:val="20"/>
                <w:szCs w:val="20"/>
              </w:rPr>
              <w:t>educ</w:t>
            </w:r>
            <w:r w:rsidR="00686AF6">
              <w:rPr>
                <w:rFonts w:ascii="Times New Roman" w:hAnsi="Times New Roman" w:cs="Times New Roman"/>
                <w:sz w:val="20"/>
                <w:szCs w:val="20"/>
              </w:rPr>
              <w:t>ed</w:t>
            </w:r>
            <w:r w:rsidR="004E6E60" w:rsidRPr="008B63BC">
              <w:rPr>
                <w:rFonts w:ascii="Times New Roman" w:hAnsi="Times New Roman" w:cs="Times New Roman"/>
                <w:sz w:val="20"/>
                <w:szCs w:val="20"/>
              </w:rPr>
              <w:t xml:space="preserve"> burden of MA/PA monitoring if stakeholder bodies </w:t>
            </w:r>
            <w:r w:rsidR="00AB072C">
              <w:rPr>
                <w:rFonts w:ascii="Times New Roman" w:hAnsi="Times New Roman" w:cs="Times New Roman"/>
                <w:sz w:val="20"/>
                <w:szCs w:val="20"/>
              </w:rPr>
              <w:t>understand and support</w:t>
            </w:r>
            <w:r w:rsidR="004E6E60" w:rsidRPr="008B63BC">
              <w:rPr>
                <w:rFonts w:ascii="Times New Roman" w:hAnsi="Times New Roman" w:cs="Times New Roman"/>
                <w:sz w:val="20"/>
                <w:szCs w:val="20"/>
              </w:rPr>
              <w:t xml:space="preserve"> delivery</w:t>
            </w:r>
            <w:r w:rsidR="00AB072C">
              <w:rPr>
                <w:rFonts w:ascii="Times New Roman" w:hAnsi="Times New Roman" w:cs="Times New Roman"/>
                <w:sz w:val="20"/>
                <w:szCs w:val="20"/>
              </w:rPr>
              <w:t xml:space="preserve"> approach</w:t>
            </w:r>
          </w:p>
        </w:tc>
      </w:tr>
      <w:tr w:rsidR="004E6E60" w:rsidRPr="008B63BC" w:rsidTr="00AA0695">
        <w:tc>
          <w:tcPr>
            <w:tcW w:w="1668" w:type="dxa"/>
          </w:tcPr>
          <w:p w:rsidR="004E6E60" w:rsidRPr="008B63BC" w:rsidRDefault="004E6E60" w:rsidP="00AA0695">
            <w:pPr>
              <w:ind w:left="66"/>
              <w:rPr>
                <w:rFonts w:ascii="Times New Roman" w:hAnsi="Times New Roman" w:cs="Times New Roman"/>
                <w:b/>
                <w:sz w:val="20"/>
                <w:szCs w:val="20"/>
              </w:rPr>
            </w:pPr>
            <w:r w:rsidRPr="008B63BC">
              <w:rPr>
                <w:rFonts w:ascii="Times New Roman" w:hAnsi="Times New Roman" w:cs="Times New Roman"/>
                <w:b/>
                <w:sz w:val="20"/>
                <w:szCs w:val="20"/>
              </w:rPr>
              <w:t>Compliance</w:t>
            </w:r>
          </w:p>
        </w:tc>
        <w:tc>
          <w:tcPr>
            <w:tcW w:w="5528" w:type="dxa"/>
          </w:tcPr>
          <w:p w:rsidR="00696DB1" w:rsidRDefault="00696DB1" w:rsidP="00AA0695">
            <w:pPr>
              <w:pStyle w:val="ListParagraph"/>
              <w:numPr>
                <w:ilvl w:val="0"/>
                <w:numId w:val="13"/>
              </w:numPr>
              <w:ind w:left="327" w:hanging="218"/>
              <w:rPr>
                <w:rFonts w:ascii="Times New Roman" w:hAnsi="Times New Roman" w:cs="Times New Roman"/>
                <w:sz w:val="20"/>
                <w:szCs w:val="20"/>
              </w:rPr>
            </w:pPr>
            <w:r w:rsidRPr="008B63BC">
              <w:rPr>
                <w:rFonts w:ascii="Times New Roman" w:hAnsi="Times New Roman" w:cs="Times New Roman"/>
                <w:sz w:val="20"/>
                <w:szCs w:val="20"/>
              </w:rPr>
              <w:t>Skilled facilitation of more complex programme elements</w:t>
            </w:r>
          </w:p>
          <w:p w:rsidR="00A75829" w:rsidRDefault="00A75829" w:rsidP="00AA0695">
            <w:pPr>
              <w:pStyle w:val="ListParagraph"/>
              <w:ind w:left="327"/>
              <w:rPr>
                <w:rFonts w:ascii="Times New Roman" w:hAnsi="Times New Roman" w:cs="Times New Roman"/>
                <w:sz w:val="20"/>
                <w:szCs w:val="20"/>
              </w:rPr>
            </w:pPr>
          </w:p>
          <w:p w:rsidR="004E6E60" w:rsidRPr="008B63BC" w:rsidRDefault="004E6E60" w:rsidP="00AA0695">
            <w:pPr>
              <w:ind w:left="327" w:hanging="218"/>
              <w:contextualSpacing/>
              <w:rPr>
                <w:rFonts w:ascii="Times New Roman" w:hAnsi="Times New Roman" w:cs="Times New Roman"/>
                <w:sz w:val="20"/>
                <w:szCs w:val="20"/>
              </w:rPr>
            </w:pPr>
          </w:p>
        </w:tc>
        <w:tc>
          <w:tcPr>
            <w:tcW w:w="5954" w:type="dxa"/>
          </w:tcPr>
          <w:p w:rsidR="004E6E60" w:rsidRPr="008B63BC" w:rsidRDefault="008B63BC" w:rsidP="00AA0695">
            <w:pPr>
              <w:pStyle w:val="ListParagraph"/>
              <w:numPr>
                <w:ilvl w:val="0"/>
                <w:numId w:val="14"/>
              </w:numPr>
              <w:ind w:left="317" w:hanging="218"/>
              <w:rPr>
                <w:rFonts w:ascii="Times New Roman" w:hAnsi="Times New Roman" w:cs="Times New Roman"/>
                <w:sz w:val="20"/>
                <w:szCs w:val="20"/>
              </w:rPr>
            </w:pPr>
            <w:r w:rsidRPr="008B63BC">
              <w:rPr>
                <w:rFonts w:ascii="Times New Roman" w:hAnsi="Times New Roman" w:cs="Times New Roman"/>
                <w:sz w:val="20"/>
                <w:szCs w:val="20"/>
              </w:rPr>
              <w:t>Potential for i</w:t>
            </w:r>
            <w:r w:rsidR="004E6E60" w:rsidRPr="008B63BC">
              <w:rPr>
                <w:rFonts w:ascii="Times New Roman" w:hAnsi="Times New Roman" w:cs="Times New Roman"/>
                <w:sz w:val="20"/>
                <w:szCs w:val="20"/>
              </w:rPr>
              <w:t xml:space="preserve">mproved compliance in areas covered by area/sector partnership agreements, where there is co-operative </w:t>
            </w:r>
            <w:r w:rsidR="00696DB1">
              <w:rPr>
                <w:rFonts w:ascii="Times New Roman" w:hAnsi="Times New Roman" w:cs="Times New Roman"/>
                <w:sz w:val="20"/>
                <w:szCs w:val="20"/>
              </w:rPr>
              <w:t xml:space="preserve">stakeholder </w:t>
            </w:r>
            <w:r w:rsidR="004E6E60" w:rsidRPr="008B63BC">
              <w:rPr>
                <w:rFonts w:ascii="Times New Roman" w:hAnsi="Times New Roman" w:cs="Times New Roman"/>
                <w:sz w:val="20"/>
                <w:szCs w:val="20"/>
              </w:rPr>
              <w:t>oversight</w:t>
            </w:r>
          </w:p>
        </w:tc>
      </w:tr>
    </w:tbl>
    <w:p w:rsidR="00E83ECD" w:rsidRPr="00137E85" w:rsidRDefault="00E83ECD" w:rsidP="00137E85">
      <w:pPr>
        <w:spacing w:after="0" w:line="360" w:lineRule="auto"/>
        <w:rPr>
          <w:rFonts w:ascii="Times New Roman" w:hAnsi="Times New Roman" w:cs="Times New Roman"/>
        </w:rPr>
        <w:sectPr w:rsidR="00E83ECD" w:rsidRPr="00137E85" w:rsidSect="00D9088A">
          <w:pgSz w:w="15840" w:h="12240" w:orient="landscape"/>
          <w:pgMar w:top="1440" w:right="1440" w:bottom="1440" w:left="1440" w:header="708" w:footer="708" w:gutter="0"/>
          <w:cols w:space="708"/>
          <w:docGrid w:linePitch="360"/>
        </w:sectPr>
      </w:pPr>
    </w:p>
    <w:p w:rsidR="002D793F" w:rsidRPr="00D916A1" w:rsidRDefault="002D793F" w:rsidP="008D745F">
      <w:pPr>
        <w:spacing w:after="0" w:line="360" w:lineRule="auto"/>
      </w:pPr>
    </w:p>
    <w:p w:rsidR="00137E85" w:rsidRDefault="00137E85" w:rsidP="00137E85">
      <w:pPr>
        <w:spacing w:line="360" w:lineRule="auto"/>
        <w:jc w:val="both"/>
        <w:rPr>
          <w:rFonts w:ascii="Times New Roman" w:hAnsi="Times New Roman" w:cs="Times New Roman"/>
          <w:sz w:val="24"/>
          <w:szCs w:val="24"/>
        </w:rPr>
      </w:pPr>
      <w:r>
        <w:rPr>
          <w:rFonts w:ascii="Times New Roman" w:hAnsi="Times New Roman" w:cs="Times New Roman"/>
          <w:sz w:val="24"/>
          <w:szCs w:val="24"/>
        </w:rPr>
        <w:t>The new Malta RDP 2014-2020 wa</w:t>
      </w:r>
      <w:r w:rsidRPr="00BD7663">
        <w:rPr>
          <w:rFonts w:ascii="Times New Roman" w:hAnsi="Times New Roman" w:cs="Times New Roman"/>
          <w:sz w:val="24"/>
          <w:szCs w:val="24"/>
        </w:rPr>
        <w:t xml:space="preserve">s </w:t>
      </w:r>
      <w:r>
        <w:rPr>
          <w:rFonts w:ascii="Times New Roman" w:hAnsi="Times New Roman" w:cs="Times New Roman"/>
          <w:sz w:val="24"/>
          <w:szCs w:val="24"/>
        </w:rPr>
        <w:t xml:space="preserve">approved but barely </w:t>
      </w:r>
      <w:r w:rsidRPr="00BD7663">
        <w:rPr>
          <w:rFonts w:ascii="Times New Roman" w:hAnsi="Times New Roman" w:cs="Times New Roman"/>
          <w:sz w:val="24"/>
          <w:szCs w:val="24"/>
        </w:rPr>
        <w:t>operational</w:t>
      </w:r>
      <w:r>
        <w:rPr>
          <w:rFonts w:ascii="Times New Roman" w:hAnsi="Times New Roman" w:cs="Times New Roman"/>
          <w:sz w:val="24"/>
          <w:szCs w:val="24"/>
        </w:rPr>
        <w:t xml:space="preserve"> at the time of writing (March 2016). It is therefore too early to know</w:t>
      </w:r>
      <w:r w:rsidRPr="00BD7663">
        <w:rPr>
          <w:rFonts w:ascii="Times New Roman" w:hAnsi="Times New Roman" w:cs="Times New Roman"/>
          <w:sz w:val="24"/>
          <w:szCs w:val="24"/>
        </w:rPr>
        <w:t xml:space="preserve"> </w:t>
      </w:r>
      <w:r>
        <w:rPr>
          <w:rFonts w:ascii="Times New Roman" w:hAnsi="Times New Roman" w:cs="Times New Roman"/>
          <w:sz w:val="24"/>
          <w:szCs w:val="24"/>
        </w:rPr>
        <w:t>whether Malta will prove able to implement all these changes to good effect</w:t>
      </w:r>
      <w:r w:rsidRPr="00BD7663">
        <w:rPr>
          <w:rFonts w:ascii="Times New Roman" w:hAnsi="Times New Roman" w:cs="Times New Roman"/>
          <w:sz w:val="24"/>
          <w:szCs w:val="24"/>
        </w:rPr>
        <w:t xml:space="preserve">. </w:t>
      </w:r>
      <w:r>
        <w:rPr>
          <w:rFonts w:ascii="Times New Roman" w:hAnsi="Times New Roman" w:cs="Times New Roman"/>
          <w:sz w:val="24"/>
          <w:szCs w:val="24"/>
        </w:rPr>
        <w:t>Challenges include new EU requirements for</w:t>
      </w:r>
      <w:r w:rsidRPr="00BD7663">
        <w:rPr>
          <w:rFonts w:ascii="Times New Roman" w:hAnsi="Times New Roman" w:cs="Times New Roman"/>
          <w:sz w:val="24"/>
          <w:szCs w:val="24"/>
        </w:rPr>
        <w:t xml:space="preserve"> monitoring, evaluation and compliance</w:t>
      </w:r>
      <w:r>
        <w:rPr>
          <w:rFonts w:ascii="Times New Roman" w:hAnsi="Times New Roman" w:cs="Times New Roman"/>
          <w:sz w:val="24"/>
          <w:szCs w:val="24"/>
        </w:rPr>
        <w:t xml:space="preserve"> where officials anticipate an increased burden in respect of learning and applying new systems, generating significant new transaction costs, with few readily apparent transaction benefits.  Within the Maltese administration, there</w:t>
      </w:r>
      <w:r w:rsidRPr="00D916A1">
        <w:rPr>
          <w:rFonts w:ascii="Times New Roman" w:hAnsi="Times New Roman" w:cs="Times New Roman"/>
          <w:sz w:val="24"/>
          <w:szCs w:val="24"/>
        </w:rPr>
        <w:t xml:space="preserve"> is limited evidence of </w:t>
      </w:r>
      <w:r>
        <w:rPr>
          <w:rFonts w:ascii="Times New Roman" w:hAnsi="Times New Roman" w:cs="Times New Roman"/>
          <w:sz w:val="24"/>
          <w:szCs w:val="24"/>
        </w:rPr>
        <w:t xml:space="preserve">investment in </w:t>
      </w:r>
      <w:r w:rsidRPr="00D916A1">
        <w:rPr>
          <w:rFonts w:ascii="Times New Roman" w:hAnsi="Times New Roman" w:cs="Times New Roman"/>
          <w:sz w:val="24"/>
          <w:szCs w:val="24"/>
        </w:rPr>
        <w:t>training and skills development</w:t>
      </w:r>
      <w:r>
        <w:rPr>
          <w:rFonts w:ascii="Times New Roman" w:hAnsi="Times New Roman" w:cs="Times New Roman"/>
          <w:sz w:val="24"/>
          <w:szCs w:val="24"/>
        </w:rPr>
        <w:t xml:space="preserve"> among the key</w:t>
      </w:r>
      <w:r w:rsidRPr="00D916A1">
        <w:rPr>
          <w:rFonts w:ascii="Times New Roman" w:hAnsi="Times New Roman" w:cs="Times New Roman"/>
          <w:sz w:val="24"/>
          <w:szCs w:val="24"/>
        </w:rPr>
        <w:t xml:space="preserve"> personnel </w:t>
      </w:r>
      <w:r>
        <w:rPr>
          <w:rFonts w:ascii="Times New Roman" w:hAnsi="Times New Roman" w:cs="Times New Roman"/>
          <w:sz w:val="24"/>
          <w:szCs w:val="24"/>
        </w:rPr>
        <w:t>who will be closely involved in</w:t>
      </w:r>
      <w:r w:rsidRPr="00D916A1">
        <w:rPr>
          <w:rFonts w:ascii="Times New Roman" w:hAnsi="Times New Roman" w:cs="Times New Roman"/>
          <w:sz w:val="24"/>
          <w:szCs w:val="24"/>
        </w:rPr>
        <w:t xml:space="preserve"> programme delivery</w:t>
      </w:r>
      <w:r>
        <w:rPr>
          <w:rFonts w:ascii="Times New Roman" w:hAnsi="Times New Roman" w:cs="Times New Roman"/>
          <w:sz w:val="24"/>
          <w:szCs w:val="24"/>
        </w:rPr>
        <w:t xml:space="preserve"> (e.g. in the Farm Advisory Service, the Managing Authority and Paying Agency)</w:t>
      </w:r>
      <w:r w:rsidRPr="00D916A1">
        <w:rPr>
          <w:rFonts w:ascii="Times New Roman" w:hAnsi="Times New Roman" w:cs="Times New Roman"/>
          <w:sz w:val="24"/>
          <w:szCs w:val="24"/>
        </w:rPr>
        <w:t xml:space="preserve">.  </w:t>
      </w:r>
      <w:r>
        <w:rPr>
          <w:rFonts w:ascii="Times New Roman" w:hAnsi="Times New Roman" w:cs="Times New Roman"/>
          <w:sz w:val="24"/>
          <w:szCs w:val="24"/>
        </w:rPr>
        <w:t>The plan for a Rural Hub and the decision to encourage new collective agri-environment and supply chain projects are written into Malta’s RDP, but without greater skills and knowledge within the MA and PA, successful delivery will be compromised.</w:t>
      </w:r>
      <w:r w:rsidRPr="00D916A1">
        <w:rPr>
          <w:rFonts w:ascii="Times New Roman" w:hAnsi="Times New Roman" w:cs="Times New Roman"/>
          <w:sz w:val="24"/>
          <w:szCs w:val="24"/>
        </w:rPr>
        <w:t xml:space="preserve"> </w:t>
      </w:r>
      <w:r>
        <w:rPr>
          <w:rFonts w:ascii="Times New Roman" w:hAnsi="Times New Roman" w:cs="Times New Roman"/>
          <w:sz w:val="24"/>
          <w:szCs w:val="24"/>
        </w:rPr>
        <w:t>There is a risk that as RDP drafting and EC approval has delayed its implementation by a year the MA will choose to prioritise speed of spend over effectiveness of spend in order to ensure that all monies are disbursed before 2020</w:t>
      </w:r>
      <w:r w:rsidR="00EC6181">
        <w:rPr>
          <w:rFonts w:ascii="Times New Roman" w:hAnsi="Times New Roman" w:cs="Times New Roman"/>
          <w:sz w:val="24"/>
          <w:szCs w:val="24"/>
        </w:rPr>
        <w:t>.  The outcome may be a</w:t>
      </w:r>
      <w:r>
        <w:rPr>
          <w:rFonts w:ascii="Times New Roman" w:hAnsi="Times New Roman" w:cs="Times New Roman"/>
          <w:sz w:val="24"/>
          <w:szCs w:val="24"/>
        </w:rPr>
        <w:t xml:space="preserve"> postpon</w:t>
      </w:r>
      <w:r w:rsidR="00B56591">
        <w:rPr>
          <w:rFonts w:ascii="Times New Roman" w:hAnsi="Times New Roman" w:cs="Times New Roman"/>
          <w:sz w:val="24"/>
          <w:szCs w:val="24"/>
        </w:rPr>
        <w:t>ment</w:t>
      </w:r>
      <w:r w:rsidR="00EC6181">
        <w:rPr>
          <w:rFonts w:ascii="Times New Roman" w:hAnsi="Times New Roman" w:cs="Times New Roman"/>
          <w:sz w:val="24"/>
          <w:szCs w:val="24"/>
        </w:rPr>
        <w:t xml:space="preserve"> of</w:t>
      </w:r>
      <w:r>
        <w:rPr>
          <w:rFonts w:ascii="Times New Roman" w:hAnsi="Times New Roman" w:cs="Times New Roman"/>
          <w:sz w:val="24"/>
          <w:szCs w:val="24"/>
        </w:rPr>
        <w:t xml:space="preserve"> </w:t>
      </w:r>
      <w:r w:rsidR="00B56591">
        <w:rPr>
          <w:rFonts w:ascii="Times New Roman" w:hAnsi="Times New Roman" w:cs="Times New Roman"/>
          <w:sz w:val="24"/>
          <w:szCs w:val="24"/>
        </w:rPr>
        <w:t xml:space="preserve">improvements </w:t>
      </w:r>
      <w:r>
        <w:rPr>
          <w:rFonts w:ascii="Times New Roman" w:hAnsi="Times New Roman" w:cs="Times New Roman"/>
          <w:sz w:val="24"/>
          <w:szCs w:val="24"/>
        </w:rPr>
        <w:t xml:space="preserve">to scrutiny, scoring and approvals </w:t>
      </w:r>
      <w:r w:rsidR="00B56591">
        <w:rPr>
          <w:rFonts w:ascii="Times New Roman" w:hAnsi="Times New Roman" w:cs="Times New Roman"/>
          <w:sz w:val="24"/>
          <w:szCs w:val="24"/>
        </w:rPr>
        <w:t xml:space="preserve">mechanisms </w:t>
      </w:r>
      <w:r>
        <w:rPr>
          <w:rFonts w:ascii="Times New Roman" w:hAnsi="Times New Roman" w:cs="Times New Roman"/>
          <w:sz w:val="24"/>
          <w:szCs w:val="24"/>
        </w:rPr>
        <w:t xml:space="preserve">for fear of delays arising simply from </w:t>
      </w:r>
      <w:r w:rsidR="00B56591">
        <w:rPr>
          <w:rFonts w:ascii="Times New Roman" w:hAnsi="Times New Roman" w:cs="Times New Roman"/>
          <w:sz w:val="24"/>
          <w:szCs w:val="24"/>
        </w:rPr>
        <w:t xml:space="preserve">the time and resources needed to undertake </w:t>
      </w:r>
      <w:r>
        <w:rPr>
          <w:rFonts w:ascii="Times New Roman" w:hAnsi="Times New Roman" w:cs="Times New Roman"/>
          <w:sz w:val="24"/>
          <w:szCs w:val="24"/>
        </w:rPr>
        <w:t>th</w:t>
      </w:r>
      <w:r w:rsidR="00B56591">
        <w:rPr>
          <w:rFonts w:ascii="Times New Roman" w:hAnsi="Times New Roman" w:cs="Times New Roman"/>
          <w:sz w:val="24"/>
          <w:szCs w:val="24"/>
        </w:rPr>
        <w:t>ese</w:t>
      </w:r>
      <w:r>
        <w:rPr>
          <w:rFonts w:ascii="Times New Roman" w:hAnsi="Times New Roman" w:cs="Times New Roman"/>
          <w:sz w:val="24"/>
          <w:szCs w:val="24"/>
        </w:rPr>
        <w:t xml:space="preserve"> chang</w:t>
      </w:r>
      <w:r w:rsidR="00B56591">
        <w:rPr>
          <w:rFonts w:ascii="Times New Roman" w:hAnsi="Times New Roman" w:cs="Times New Roman"/>
          <w:sz w:val="24"/>
          <w:szCs w:val="24"/>
        </w:rPr>
        <w:t>es</w:t>
      </w:r>
      <w:r>
        <w:rPr>
          <w:rFonts w:ascii="Times New Roman" w:hAnsi="Times New Roman" w:cs="Times New Roman"/>
          <w:sz w:val="24"/>
          <w:szCs w:val="24"/>
        </w:rPr>
        <w:t xml:space="preserve">. Nevertheless, the high level of stakeholder engagement during the RDP preparation should have </w:t>
      </w:r>
      <w:r w:rsidR="007B6B6D">
        <w:rPr>
          <w:rFonts w:ascii="Times New Roman" w:hAnsi="Times New Roman" w:cs="Times New Roman"/>
          <w:sz w:val="24"/>
          <w:szCs w:val="24"/>
        </w:rPr>
        <w:t xml:space="preserve">some </w:t>
      </w:r>
      <w:r>
        <w:rPr>
          <w:rFonts w:ascii="Times New Roman" w:hAnsi="Times New Roman" w:cs="Times New Roman"/>
          <w:sz w:val="24"/>
          <w:szCs w:val="24"/>
        </w:rPr>
        <w:t xml:space="preserve">lasting </w:t>
      </w:r>
      <w:r w:rsidR="007B6B6D">
        <w:rPr>
          <w:rFonts w:ascii="Times New Roman" w:hAnsi="Times New Roman" w:cs="Times New Roman"/>
          <w:sz w:val="24"/>
          <w:szCs w:val="24"/>
        </w:rPr>
        <w:t xml:space="preserve">impact on the transaction processes, and benefits are expected </w:t>
      </w:r>
      <w:r>
        <w:rPr>
          <w:rFonts w:ascii="Times New Roman" w:hAnsi="Times New Roman" w:cs="Times New Roman"/>
          <w:sz w:val="24"/>
          <w:szCs w:val="24"/>
        </w:rPr>
        <w:t xml:space="preserve"> in respect of encouraging a higher quality and quantity of applications, as well as greater trust in the programme’s objectives and spending priorities.</w:t>
      </w:r>
    </w:p>
    <w:p w:rsidR="00137E85" w:rsidRPr="00137E85" w:rsidRDefault="00137E85" w:rsidP="00137E85">
      <w:pPr>
        <w:spacing w:line="360" w:lineRule="auto"/>
        <w:jc w:val="both"/>
        <w:rPr>
          <w:rFonts w:ascii="Times New Roman" w:hAnsi="Times New Roman" w:cs="Times New Roman"/>
          <w:b/>
          <w:sz w:val="24"/>
          <w:szCs w:val="24"/>
        </w:rPr>
      </w:pPr>
    </w:p>
    <w:p w:rsidR="00CF1AD4" w:rsidRPr="00CF1AD4" w:rsidRDefault="00CF1AD4" w:rsidP="008D745F">
      <w:pPr>
        <w:pStyle w:val="ListParagraph"/>
        <w:numPr>
          <w:ilvl w:val="0"/>
          <w:numId w:val="10"/>
        </w:numPr>
        <w:spacing w:line="360" w:lineRule="auto"/>
        <w:jc w:val="both"/>
        <w:rPr>
          <w:rFonts w:ascii="Times New Roman" w:hAnsi="Times New Roman" w:cs="Times New Roman"/>
          <w:b/>
          <w:sz w:val="24"/>
          <w:szCs w:val="24"/>
        </w:rPr>
      </w:pPr>
      <w:r w:rsidRPr="00CF1AD4">
        <w:rPr>
          <w:rFonts w:ascii="Times New Roman" w:hAnsi="Times New Roman" w:cs="Times New Roman"/>
          <w:b/>
          <w:sz w:val="24"/>
          <w:szCs w:val="24"/>
        </w:rPr>
        <w:t>Discussion</w:t>
      </w:r>
    </w:p>
    <w:p w:rsidR="00F50AA3" w:rsidRDefault="00BD7663" w:rsidP="00137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two case studies</w:t>
      </w:r>
      <w:r w:rsidR="00393A9A">
        <w:rPr>
          <w:rFonts w:ascii="Times New Roman" w:hAnsi="Times New Roman" w:cs="Times New Roman"/>
          <w:sz w:val="24"/>
          <w:szCs w:val="24"/>
        </w:rPr>
        <w:t xml:space="preserve"> illustrate </w:t>
      </w:r>
      <w:r w:rsidR="008839F5">
        <w:rPr>
          <w:rFonts w:ascii="Times New Roman" w:hAnsi="Times New Roman" w:cs="Times New Roman"/>
          <w:sz w:val="24"/>
          <w:szCs w:val="24"/>
        </w:rPr>
        <w:t>ways in which</w:t>
      </w:r>
      <w:r w:rsidR="00393A9A">
        <w:rPr>
          <w:rFonts w:ascii="Times New Roman" w:hAnsi="Times New Roman" w:cs="Times New Roman"/>
          <w:sz w:val="24"/>
          <w:szCs w:val="24"/>
        </w:rPr>
        <w:t xml:space="preserve"> programme design</w:t>
      </w:r>
      <w:r w:rsidR="00AB64D0">
        <w:rPr>
          <w:rFonts w:ascii="Times New Roman" w:hAnsi="Times New Roman" w:cs="Times New Roman"/>
          <w:sz w:val="24"/>
          <w:szCs w:val="24"/>
        </w:rPr>
        <w:t xml:space="preserve"> choices and tactics</w:t>
      </w:r>
      <w:r w:rsidR="00393A9A">
        <w:rPr>
          <w:rFonts w:ascii="Times New Roman" w:hAnsi="Times New Roman" w:cs="Times New Roman"/>
          <w:sz w:val="24"/>
          <w:szCs w:val="24"/>
        </w:rPr>
        <w:t xml:space="preserve"> </w:t>
      </w:r>
      <w:r w:rsidR="00631874">
        <w:rPr>
          <w:rFonts w:ascii="Times New Roman" w:hAnsi="Times New Roman" w:cs="Times New Roman"/>
          <w:sz w:val="24"/>
          <w:szCs w:val="24"/>
        </w:rPr>
        <w:t xml:space="preserve">can </w:t>
      </w:r>
      <w:r w:rsidR="00393A9A">
        <w:rPr>
          <w:rFonts w:ascii="Times New Roman" w:hAnsi="Times New Roman" w:cs="Times New Roman"/>
          <w:sz w:val="24"/>
          <w:szCs w:val="24"/>
        </w:rPr>
        <w:t xml:space="preserve">influence the transaction costs and benefits </w:t>
      </w:r>
      <w:r w:rsidR="00812535">
        <w:rPr>
          <w:rFonts w:ascii="Times New Roman" w:hAnsi="Times New Roman" w:cs="Times New Roman"/>
          <w:sz w:val="24"/>
          <w:szCs w:val="24"/>
        </w:rPr>
        <w:t xml:space="preserve">associated with </w:t>
      </w:r>
      <w:r w:rsidR="00192673">
        <w:rPr>
          <w:rFonts w:ascii="Times New Roman" w:hAnsi="Times New Roman" w:cs="Times New Roman"/>
          <w:sz w:val="24"/>
          <w:szCs w:val="24"/>
        </w:rPr>
        <w:t>RDP</w:t>
      </w:r>
      <w:r w:rsidR="00631874">
        <w:rPr>
          <w:rFonts w:ascii="Times New Roman" w:hAnsi="Times New Roman" w:cs="Times New Roman"/>
          <w:sz w:val="24"/>
          <w:szCs w:val="24"/>
        </w:rPr>
        <w:t xml:space="preserve"> delivery</w:t>
      </w:r>
      <w:r w:rsidR="005B5B20">
        <w:rPr>
          <w:rFonts w:ascii="Times New Roman" w:hAnsi="Times New Roman" w:cs="Times New Roman"/>
          <w:sz w:val="24"/>
          <w:szCs w:val="24"/>
        </w:rPr>
        <w:t xml:space="preserve">, in contrasting </w:t>
      </w:r>
      <w:r w:rsidR="00656F3E">
        <w:rPr>
          <w:rFonts w:ascii="Times New Roman" w:hAnsi="Times New Roman" w:cs="Times New Roman"/>
          <w:sz w:val="24"/>
          <w:szCs w:val="24"/>
        </w:rPr>
        <w:t>condition</w:t>
      </w:r>
      <w:r w:rsidR="005B5B20">
        <w:rPr>
          <w:rFonts w:ascii="Times New Roman" w:hAnsi="Times New Roman" w:cs="Times New Roman"/>
          <w:sz w:val="24"/>
          <w:szCs w:val="24"/>
        </w:rPr>
        <w:t>s</w:t>
      </w:r>
      <w:r w:rsidR="00812535">
        <w:rPr>
          <w:rFonts w:ascii="Times New Roman" w:hAnsi="Times New Roman" w:cs="Times New Roman"/>
          <w:sz w:val="24"/>
          <w:szCs w:val="24"/>
        </w:rPr>
        <w:t>.</w:t>
      </w:r>
      <w:r w:rsidR="00393A9A">
        <w:rPr>
          <w:rFonts w:ascii="Times New Roman" w:hAnsi="Times New Roman" w:cs="Times New Roman"/>
          <w:sz w:val="24"/>
          <w:szCs w:val="24"/>
        </w:rPr>
        <w:t xml:space="preserve"> </w:t>
      </w:r>
      <w:r w:rsidR="00DA6482" w:rsidRPr="00CF1AD4">
        <w:rPr>
          <w:rFonts w:ascii="Times New Roman" w:hAnsi="Times New Roman" w:cs="Times New Roman"/>
          <w:sz w:val="24"/>
          <w:szCs w:val="24"/>
        </w:rPr>
        <w:t xml:space="preserve"> </w:t>
      </w:r>
      <w:r w:rsidR="00393A9A">
        <w:rPr>
          <w:rFonts w:ascii="Times New Roman" w:hAnsi="Times New Roman" w:cs="Times New Roman"/>
          <w:sz w:val="24"/>
          <w:szCs w:val="24"/>
        </w:rPr>
        <w:t xml:space="preserve">They also </w:t>
      </w:r>
      <w:r w:rsidR="00DA6482" w:rsidRPr="00CF1AD4">
        <w:rPr>
          <w:rFonts w:ascii="Times New Roman" w:hAnsi="Times New Roman" w:cs="Times New Roman"/>
          <w:sz w:val="24"/>
          <w:szCs w:val="24"/>
        </w:rPr>
        <w:t xml:space="preserve">indicate </w:t>
      </w:r>
      <w:r w:rsidR="00656F3E">
        <w:rPr>
          <w:rFonts w:ascii="Times New Roman" w:hAnsi="Times New Roman" w:cs="Times New Roman"/>
          <w:sz w:val="24"/>
          <w:szCs w:val="24"/>
        </w:rPr>
        <w:t>how</w:t>
      </w:r>
      <w:r w:rsidR="00DA6482" w:rsidRPr="00CF1AD4">
        <w:rPr>
          <w:rFonts w:ascii="Times New Roman" w:hAnsi="Times New Roman" w:cs="Times New Roman"/>
          <w:sz w:val="24"/>
          <w:szCs w:val="24"/>
        </w:rPr>
        <w:t xml:space="preserve"> a more thorough</w:t>
      </w:r>
      <w:r w:rsidR="008839F5">
        <w:rPr>
          <w:rFonts w:ascii="Times New Roman" w:hAnsi="Times New Roman" w:cs="Times New Roman"/>
          <w:sz w:val="24"/>
          <w:szCs w:val="24"/>
        </w:rPr>
        <w:t xml:space="preserve"> consideration</w:t>
      </w:r>
      <w:r w:rsidR="00192B82">
        <w:rPr>
          <w:rFonts w:ascii="Times New Roman" w:hAnsi="Times New Roman" w:cs="Times New Roman"/>
          <w:sz w:val="24"/>
          <w:szCs w:val="24"/>
        </w:rPr>
        <w:t xml:space="preserve"> </w:t>
      </w:r>
      <w:r w:rsidR="00DA6482" w:rsidRPr="00CF1AD4">
        <w:rPr>
          <w:rFonts w:ascii="Times New Roman" w:hAnsi="Times New Roman" w:cs="Times New Roman"/>
          <w:sz w:val="24"/>
          <w:szCs w:val="24"/>
        </w:rPr>
        <w:t xml:space="preserve">of transaction </w:t>
      </w:r>
      <w:r w:rsidR="00192673">
        <w:rPr>
          <w:rFonts w:ascii="Times New Roman" w:hAnsi="Times New Roman" w:cs="Times New Roman"/>
          <w:sz w:val="24"/>
          <w:szCs w:val="24"/>
        </w:rPr>
        <w:t>costs and benefits</w:t>
      </w:r>
      <w:r w:rsidR="00CC0769">
        <w:rPr>
          <w:rFonts w:ascii="Times New Roman" w:hAnsi="Times New Roman" w:cs="Times New Roman"/>
          <w:sz w:val="24"/>
          <w:szCs w:val="24"/>
        </w:rPr>
        <w:t xml:space="preserve"> </w:t>
      </w:r>
      <w:r w:rsidR="00656F3E">
        <w:rPr>
          <w:rFonts w:ascii="Times New Roman" w:hAnsi="Times New Roman" w:cs="Times New Roman"/>
          <w:sz w:val="24"/>
          <w:szCs w:val="24"/>
        </w:rPr>
        <w:t>might</w:t>
      </w:r>
      <w:r w:rsidR="00192B82">
        <w:rPr>
          <w:rFonts w:ascii="Times New Roman" w:hAnsi="Times New Roman" w:cs="Times New Roman"/>
          <w:sz w:val="24"/>
          <w:szCs w:val="24"/>
        </w:rPr>
        <w:t xml:space="preserve"> contribute to improved design</w:t>
      </w:r>
      <w:r w:rsidR="00AB64D0">
        <w:rPr>
          <w:rFonts w:ascii="Times New Roman" w:hAnsi="Times New Roman" w:cs="Times New Roman"/>
          <w:sz w:val="24"/>
          <w:szCs w:val="24"/>
        </w:rPr>
        <w:t xml:space="preserve"> in future</w:t>
      </w:r>
      <w:r w:rsidR="00192B82">
        <w:rPr>
          <w:rFonts w:ascii="Times New Roman" w:hAnsi="Times New Roman" w:cs="Times New Roman"/>
          <w:sz w:val="24"/>
          <w:szCs w:val="24"/>
        </w:rPr>
        <w:t xml:space="preserve">, </w:t>
      </w:r>
      <w:r w:rsidR="000F5BEA">
        <w:rPr>
          <w:rFonts w:ascii="Times New Roman" w:hAnsi="Times New Roman" w:cs="Times New Roman"/>
          <w:sz w:val="24"/>
          <w:szCs w:val="24"/>
        </w:rPr>
        <w:t xml:space="preserve">enhancing </w:t>
      </w:r>
      <w:r w:rsidR="008839F5">
        <w:rPr>
          <w:rFonts w:ascii="Times New Roman" w:hAnsi="Times New Roman" w:cs="Times New Roman"/>
          <w:sz w:val="24"/>
          <w:szCs w:val="24"/>
        </w:rPr>
        <w:t>performance</w:t>
      </w:r>
      <w:r w:rsidR="00DA6482" w:rsidRPr="00CF1AD4">
        <w:rPr>
          <w:rFonts w:ascii="Times New Roman" w:hAnsi="Times New Roman" w:cs="Times New Roman"/>
          <w:sz w:val="24"/>
          <w:szCs w:val="24"/>
        </w:rPr>
        <w:t>.</w:t>
      </w:r>
      <w:r w:rsidR="00DE6525" w:rsidRPr="00CF1AD4">
        <w:rPr>
          <w:rFonts w:ascii="Times New Roman" w:hAnsi="Times New Roman" w:cs="Times New Roman"/>
          <w:sz w:val="24"/>
          <w:szCs w:val="24"/>
        </w:rPr>
        <w:t xml:space="preserve"> </w:t>
      </w:r>
    </w:p>
    <w:p w:rsidR="00F50AA3" w:rsidRDefault="00F50AA3" w:rsidP="00137E85">
      <w:pPr>
        <w:spacing w:after="0" w:line="360" w:lineRule="auto"/>
        <w:jc w:val="both"/>
        <w:rPr>
          <w:rFonts w:ascii="Times New Roman" w:hAnsi="Times New Roman" w:cs="Times New Roman"/>
          <w:sz w:val="24"/>
          <w:szCs w:val="24"/>
        </w:rPr>
      </w:pPr>
    </w:p>
    <w:p w:rsidR="00F50AA3" w:rsidRPr="00F50AA3" w:rsidRDefault="00656F3E" w:rsidP="00137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these cases i</w:t>
      </w:r>
      <w:r w:rsidR="00F50AA3" w:rsidRPr="00F50AA3">
        <w:rPr>
          <w:rFonts w:ascii="Times New Roman" w:hAnsi="Times New Roman" w:cs="Times New Roman"/>
          <w:sz w:val="24"/>
          <w:szCs w:val="24"/>
        </w:rPr>
        <w:t xml:space="preserve">t is possible to </w:t>
      </w:r>
      <w:r>
        <w:rPr>
          <w:rFonts w:ascii="Times New Roman" w:hAnsi="Times New Roman" w:cs="Times New Roman"/>
          <w:sz w:val="24"/>
          <w:szCs w:val="24"/>
        </w:rPr>
        <w:t>understand</w:t>
      </w:r>
      <w:r w:rsidR="00F50AA3" w:rsidRPr="00F50AA3">
        <w:rPr>
          <w:rFonts w:ascii="Times New Roman" w:hAnsi="Times New Roman" w:cs="Times New Roman"/>
          <w:sz w:val="24"/>
          <w:szCs w:val="24"/>
        </w:rPr>
        <w:t xml:space="preserve"> how RDP</w:t>
      </w:r>
      <w:r w:rsidR="00631874">
        <w:rPr>
          <w:rFonts w:ascii="Times New Roman" w:hAnsi="Times New Roman" w:cs="Times New Roman"/>
          <w:sz w:val="24"/>
          <w:szCs w:val="24"/>
        </w:rPr>
        <w:t xml:space="preserve"> mechanism</w:t>
      </w:r>
      <w:r w:rsidR="00F50AA3" w:rsidRPr="00F50AA3">
        <w:rPr>
          <w:rFonts w:ascii="Times New Roman" w:hAnsi="Times New Roman" w:cs="Times New Roman"/>
          <w:sz w:val="24"/>
          <w:szCs w:val="24"/>
        </w:rPr>
        <w:t xml:space="preserve">s create a series of ‘contracting’ challenges within and among institutions, as public or quasi-public agencies are given responsibilities to design and deliver (parts of) programmes.  </w:t>
      </w:r>
      <w:r w:rsidR="004C11D4">
        <w:rPr>
          <w:rFonts w:ascii="Times New Roman" w:hAnsi="Times New Roman" w:cs="Times New Roman"/>
          <w:sz w:val="24"/>
          <w:szCs w:val="24"/>
        </w:rPr>
        <w:t xml:space="preserve">As illustrated in Malta, for </w:t>
      </w:r>
      <w:r w:rsidR="004C11D4">
        <w:rPr>
          <w:rFonts w:ascii="Times New Roman" w:hAnsi="Times New Roman" w:cs="Times New Roman"/>
          <w:sz w:val="24"/>
          <w:szCs w:val="24"/>
        </w:rPr>
        <w:lastRenderedPageBreak/>
        <w:t>new EU Member States i</w:t>
      </w:r>
      <w:r w:rsidR="00F50AA3" w:rsidRPr="00F50AA3">
        <w:rPr>
          <w:rFonts w:ascii="Times New Roman" w:hAnsi="Times New Roman" w:cs="Times New Roman"/>
          <w:sz w:val="24"/>
          <w:szCs w:val="24"/>
        </w:rPr>
        <w:t>nitial RDP development costs may be high, as the agencies</w:t>
      </w:r>
      <w:r w:rsidR="004C11D4">
        <w:rPr>
          <w:rFonts w:ascii="Times New Roman" w:hAnsi="Times New Roman" w:cs="Times New Roman"/>
          <w:sz w:val="24"/>
          <w:szCs w:val="24"/>
        </w:rPr>
        <w:t xml:space="preserve"> involved </w:t>
      </w:r>
      <w:r w:rsidR="00F50AA3" w:rsidRPr="00F50AA3">
        <w:rPr>
          <w:rFonts w:ascii="Times New Roman" w:hAnsi="Times New Roman" w:cs="Times New Roman"/>
          <w:sz w:val="24"/>
          <w:szCs w:val="24"/>
        </w:rPr>
        <w:t xml:space="preserve"> climb steep learning curves. </w:t>
      </w:r>
      <w:r w:rsidR="004C11D4">
        <w:rPr>
          <w:rFonts w:ascii="Times New Roman" w:hAnsi="Times New Roman" w:cs="Times New Roman"/>
          <w:sz w:val="24"/>
          <w:szCs w:val="24"/>
        </w:rPr>
        <w:t>O</w:t>
      </w:r>
      <w:r w:rsidR="00F50AA3" w:rsidRPr="00F50AA3">
        <w:rPr>
          <w:rFonts w:ascii="Times New Roman" w:hAnsi="Times New Roman" w:cs="Times New Roman"/>
          <w:sz w:val="24"/>
          <w:szCs w:val="24"/>
        </w:rPr>
        <w:t>ver time</w:t>
      </w:r>
      <w:r w:rsidR="004C11D4">
        <w:rPr>
          <w:rFonts w:ascii="Times New Roman" w:hAnsi="Times New Roman" w:cs="Times New Roman"/>
          <w:sz w:val="24"/>
          <w:szCs w:val="24"/>
        </w:rPr>
        <w:t xml:space="preserve"> these costs would be expected </w:t>
      </w:r>
      <w:r w:rsidR="00F50AA3" w:rsidRPr="00F50AA3">
        <w:rPr>
          <w:rFonts w:ascii="Times New Roman" w:hAnsi="Times New Roman" w:cs="Times New Roman"/>
          <w:sz w:val="24"/>
          <w:szCs w:val="24"/>
        </w:rPr>
        <w:t xml:space="preserve"> </w:t>
      </w:r>
      <w:r w:rsidR="004C11D4">
        <w:rPr>
          <w:rFonts w:ascii="Times New Roman" w:hAnsi="Times New Roman" w:cs="Times New Roman"/>
          <w:sz w:val="24"/>
          <w:szCs w:val="24"/>
        </w:rPr>
        <w:t>to decline as organisations</w:t>
      </w:r>
      <w:r w:rsidR="004C11D4" w:rsidRPr="00F50AA3">
        <w:rPr>
          <w:rFonts w:ascii="Times New Roman" w:hAnsi="Times New Roman" w:cs="Times New Roman"/>
          <w:sz w:val="24"/>
          <w:szCs w:val="24"/>
        </w:rPr>
        <w:t xml:space="preserve"> </w:t>
      </w:r>
      <w:r w:rsidR="00F50AA3" w:rsidRPr="00F50AA3">
        <w:rPr>
          <w:rFonts w:ascii="Times New Roman" w:hAnsi="Times New Roman" w:cs="Times New Roman"/>
          <w:sz w:val="24"/>
          <w:szCs w:val="24"/>
        </w:rPr>
        <w:t xml:space="preserve">develop their own particular understandings and characteristic modes of operation. This may result in a reduction in administrative costs as agencies learn how to achieve </w:t>
      </w:r>
      <w:r>
        <w:rPr>
          <w:rFonts w:ascii="Times New Roman" w:hAnsi="Times New Roman" w:cs="Times New Roman"/>
          <w:sz w:val="24"/>
          <w:szCs w:val="24"/>
        </w:rPr>
        <w:t>programme</w:t>
      </w:r>
      <w:r w:rsidR="00F50AA3" w:rsidRPr="00F50AA3">
        <w:rPr>
          <w:rFonts w:ascii="Times New Roman" w:hAnsi="Times New Roman" w:cs="Times New Roman"/>
          <w:sz w:val="24"/>
          <w:szCs w:val="24"/>
        </w:rPr>
        <w:t xml:space="preserve"> objectives more efficiently (Whitby, 2000), but it may also </w:t>
      </w:r>
      <w:r>
        <w:rPr>
          <w:rFonts w:ascii="Times New Roman" w:hAnsi="Times New Roman" w:cs="Times New Roman"/>
          <w:sz w:val="24"/>
          <w:szCs w:val="24"/>
        </w:rPr>
        <w:t>fost</w:t>
      </w:r>
      <w:r w:rsidR="00F50AA3" w:rsidRPr="00F50AA3">
        <w:rPr>
          <w:rFonts w:ascii="Times New Roman" w:hAnsi="Times New Roman" w:cs="Times New Roman"/>
          <w:sz w:val="24"/>
          <w:szCs w:val="24"/>
        </w:rPr>
        <w:t xml:space="preserve">er ‘path dependency’ (North, 1990b), where </w:t>
      </w:r>
      <w:r>
        <w:rPr>
          <w:rFonts w:ascii="Times New Roman" w:hAnsi="Times New Roman" w:cs="Times New Roman"/>
          <w:sz w:val="24"/>
          <w:szCs w:val="24"/>
        </w:rPr>
        <w:t>the</w:t>
      </w:r>
      <w:r w:rsidR="00F50AA3" w:rsidRPr="00F50AA3">
        <w:rPr>
          <w:rFonts w:ascii="Times New Roman" w:hAnsi="Times New Roman" w:cs="Times New Roman"/>
          <w:sz w:val="24"/>
          <w:szCs w:val="24"/>
        </w:rPr>
        <w:t xml:space="preserve"> learning experiences unduly bias the future appraisal of, and response to, new policy challenges. </w:t>
      </w:r>
      <w:r w:rsidR="003A2172">
        <w:rPr>
          <w:rFonts w:ascii="Times New Roman" w:hAnsi="Times New Roman" w:cs="Times New Roman"/>
          <w:sz w:val="24"/>
          <w:szCs w:val="24"/>
        </w:rPr>
        <w:t xml:space="preserve">This can be a particular problem for small states with limited human capital and resources with consequences for </w:t>
      </w:r>
      <w:r w:rsidR="00F50AA3" w:rsidRPr="00F50AA3">
        <w:rPr>
          <w:rFonts w:ascii="Times New Roman" w:hAnsi="Times New Roman" w:cs="Times New Roman"/>
          <w:sz w:val="24"/>
          <w:szCs w:val="24"/>
        </w:rPr>
        <w:t xml:space="preserve">transaction processes and programme effectiveness. </w:t>
      </w:r>
      <w:r w:rsidR="003A2172">
        <w:rPr>
          <w:rFonts w:ascii="Times New Roman" w:hAnsi="Times New Roman" w:cs="Times New Roman"/>
          <w:sz w:val="24"/>
          <w:szCs w:val="24"/>
        </w:rPr>
        <w:t>A</w:t>
      </w:r>
      <w:r w:rsidR="007866E9">
        <w:rPr>
          <w:rFonts w:ascii="Times New Roman" w:hAnsi="Times New Roman" w:cs="Times New Roman"/>
          <w:sz w:val="24"/>
          <w:szCs w:val="24"/>
        </w:rPr>
        <w:t>mong rural policy-makers</w:t>
      </w:r>
      <w:r w:rsidR="003A2172">
        <w:rPr>
          <w:rFonts w:ascii="Times New Roman" w:hAnsi="Times New Roman" w:cs="Times New Roman"/>
          <w:sz w:val="24"/>
          <w:szCs w:val="24"/>
        </w:rPr>
        <w:t xml:space="preserve"> more widely</w:t>
      </w:r>
      <w:r w:rsidR="00F50AA3" w:rsidRPr="00F50AA3">
        <w:rPr>
          <w:rFonts w:ascii="Times New Roman" w:hAnsi="Times New Roman" w:cs="Times New Roman"/>
          <w:sz w:val="24"/>
          <w:szCs w:val="24"/>
        </w:rPr>
        <w:t xml:space="preserve"> there is concern to contain the administrative costs of RDPs (i.e. the explicit public transaction costs that accompany implementation)</w:t>
      </w:r>
      <w:r w:rsidR="00920236">
        <w:rPr>
          <w:rFonts w:ascii="Times New Roman" w:hAnsi="Times New Roman" w:cs="Times New Roman"/>
          <w:sz w:val="24"/>
          <w:szCs w:val="24"/>
        </w:rPr>
        <w:t xml:space="preserve">, but </w:t>
      </w:r>
      <w:r w:rsidR="00F50AA3" w:rsidRPr="00F50AA3">
        <w:rPr>
          <w:rFonts w:ascii="Times New Roman" w:hAnsi="Times New Roman" w:cs="Times New Roman"/>
          <w:sz w:val="24"/>
          <w:szCs w:val="24"/>
        </w:rPr>
        <w:t xml:space="preserve">there appears little recognition that </w:t>
      </w:r>
      <w:r w:rsidR="00920236">
        <w:rPr>
          <w:rFonts w:ascii="Times New Roman" w:hAnsi="Times New Roman" w:cs="Times New Roman"/>
          <w:sz w:val="24"/>
          <w:szCs w:val="24"/>
        </w:rPr>
        <w:t>this</w:t>
      </w:r>
      <w:r w:rsidR="003A2172">
        <w:rPr>
          <w:rFonts w:ascii="Times New Roman" w:hAnsi="Times New Roman" w:cs="Times New Roman"/>
          <w:sz w:val="24"/>
          <w:szCs w:val="24"/>
        </w:rPr>
        <w:t xml:space="preserve"> </w:t>
      </w:r>
      <w:r w:rsidR="00F50AA3" w:rsidRPr="00F50AA3">
        <w:rPr>
          <w:rFonts w:ascii="Times New Roman" w:hAnsi="Times New Roman" w:cs="Times New Roman"/>
          <w:sz w:val="24"/>
          <w:szCs w:val="24"/>
        </w:rPr>
        <w:t xml:space="preserve">may not represent the </w:t>
      </w:r>
      <w:r w:rsidR="00631874">
        <w:rPr>
          <w:rFonts w:ascii="Times New Roman" w:hAnsi="Times New Roman" w:cs="Times New Roman"/>
          <w:sz w:val="24"/>
          <w:szCs w:val="24"/>
        </w:rPr>
        <w:t xml:space="preserve">most </w:t>
      </w:r>
      <w:r w:rsidR="0054469A">
        <w:rPr>
          <w:rFonts w:ascii="Times New Roman" w:hAnsi="Times New Roman" w:cs="Times New Roman"/>
          <w:sz w:val="24"/>
          <w:szCs w:val="24"/>
        </w:rPr>
        <w:t>cost-</w:t>
      </w:r>
      <w:r w:rsidR="00631874">
        <w:rPr>
          <w:rFonts w:ascii="Times New Roman" w:hAnsi="Times New Roman" w:cs="Times New Roman"/>
          <w:sz w:val="24"/>
          <w:szCs w:val="24"/>
        </w:rPr>
        <w:t>effective</w:t>
      </w:r>
      <w:r w:rsidR="00920236">
        <w:rPr>
          <w:rFonts w:ascii="Times New Roman" w:hAnsi="Times New Roman" w:cs="Times New Roman"/>
          <w:sz w:val="24"/>
          <w:szCs w:val="24"/>
        </w:rPr>
        <w:t xml:space="preserve"> strategy</w:t>
      </w:r>
      <w:r w:rsidR="00F50AA3" w:rsidRPr="00F50AA3">
        <w:rPr>
          <w:rFonts w:ascii="Times New Roman" w:hAnsi="Times New Roman" w:cs="Times New Roman"/>
          <w:sz w:val="24"/>
          <w:szCs w:val="24"/>
        </w:rPr>
        <w:t>.</w:t>
      </w:r>
    </w:p>
    <w:p w:rsidR="00F50AA3" w:rsidRPr="00F50AA3" w:rsidRDefault="00F50AA3" w:rsidP="00137E85">
      <w:pPr>
        <w:spacing w:after="0" w:line="360" w:lineRule="auto"/>
        <w:jc w:val="both"/>
        <w:rPr>
          <w:rFonts w:ascii="Times New Roman" w:hAnsi="Times New Roman" w:cs="Times New Roman"/>
          <w:sz w:val="24"/>
          <w:szCs w:val="24"/>
        </w:rPr>
      </w:pPr>
    </w:p>
    <w:p w:rsidR="00F50AA3" w:rsidRPr="00F50AA3" w:rsidRDefault="0054469A" w:rsidP="00F50A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50AA3" w:rsidRPr="00F50AA3">
        <w:rPr>
          <w:rFonts w:ascii="Times New Roman" w:hAnsi="Times New Roman" w:cs="Times New Roman"/>
          <w:sz w:val="24"/>
          <w:szCs w:val="24"/>
        </w:rPr>
        <w:t>RDP policy process (Figure 1) entails five critical nodes generat</w:t>
      </w:r>
      <w:r w:rsidR="00AB64D0">
        <w:rPr>
          <w:rFonts w:ascii="Times New Roman" w:hAnsi="Times New Roman" w:cs="Times New Roman"/>
          <w:sz w:val="24"/>
          <w:szCs w:val="24"/>
        </w:rPr>
        <w:t>ing</w:t>
      </w:r>
      <w:r w:rsidR="00F50AA3" w:rsidRPr="00F50AA3">
        <w:rPr>
          <w:rFonts w:ascii="Times New Roman" w:hAnsi="Times New Roman" w:cs="Times New Roman"/>
          <w:sz w:val="24"/>
          <w:szCs w:val="24"/>
        </w:rPr>
        <w:t xml:space="preserve"> transaction challenges:</w:t>
      </w:r>
    </w:p>
    <w:p w:rsidR="00F50AA3" w:rsidRPr="006D6A4D" w:rsidRDefault="00F50AA3" w:rsidP="006D6A4D">
      <w:pPr>
        <w:pStyle w:val="ListParagraph"/>
        <w:numPr>
          <w:ilvl w:val="0"/>
          <w:numId w:val="14"/>
        </w:numPr>
        <w:spacing w:line="360" w:lineRule="auto"/>
        <w:jc w:val="both"/>
        <w:rPr>
          <w:rFonts w:ascii="Times New Roman" w:hAnsi="Times New Roman" w:cs="Times New Roman"/>
          <w:sz w:val="24"/>
          <w:szCs w:val="24"/>
        </w:rPr>
      </w:pPr>
      <w:r w:rsidRPr="006D6A4D">
        <w:rPr>
          <w:rFonts w:ascii="Times New Roman" w:hAnsi="Times New Roman" w:cs="Times New Roman"/>
          <w:sz w:val="24"/>
          <w:szCs w:val="24"/>
        </w:rPr>
        <w:t xml:space="preserve">At EU level, the European Commission precedes each programming period by agreeing objectives for rural areas across the Union, with the Member States. </w:t>
      </w:r>
      <w:r w:rsidR="007866E9" w:rsidRPr="006D6A4D">
        <w:rPr>
          <w:rFonts w:ascii="Times New Roman" w:hAnsi="Times New Roman" w:cs="Times New Roman"/>
          <w:sz w:val="24"/>
          <w:szCs w:val="24"/>
        </w:rPr>
        <w:t>It then</w:t>
      </w:r>
      <w:r w:rsidRPr="006D6A4D">
        <w:rPr>
          <w:rFonts w:ascii="Times New Roman" w:hAnsi="Times New Roman" w:cs="Times New Roman"/>
          <w:sz w:val="24"/>
          <w:szCs w:val="24"/>
        </w:rPr>
        <w:t xml:space="preserve"> establish</w:t>
      </w:r>
      <w:r w:rsidR="007866E9" w:rsidRPr="006D6A4D">
        <w:rPr>
          <w:rFonts w:ascii="Times New Roman" w:hAnsi="Times New Roman" w:cs="Times New Roman"/>
          <w:sz w:val="24"/>
          <w:szCs w:val="24"/>
        </w:rPr>
        <w:t>es a framework for</w:t>
      </w:r>
      <w:r w:rsidRPr="006D6A4D">
        <w:rPr>
          <w:rFonts w:ascii="Times New Roman" w:hAnsi="Times New Roman" w:cs="Times New Roman"/>
          <w:sz w:val="24"/>
          <w:szCs w:val="24"/>
        </w:rPr>
        <w:t xml:space="preserve"> complex, multi-measure and multi-objective programmes to distribute public funds</w:t>
      </w:r>
      <w:r w:rsidR="007866E9" w:rsidRPr="006D6A4D">
        <w:rPr>
          <w:rFonts w:ascii="Times New Roman" w:hAnsi="Times New Roman" w:cs="Times New Roman"/>
          <w:sz w:val="24"/>
          <w:szCs w:val="24"/>
        </w:rPr>
        <w:t>,</w:t>
      </w:r>
      <w:r w:rsidRPr="006D6A4D">
        <w:rPr>
          <w:rFonts w:ascii="Times New Roman" w:hAnsi="Times New Roman" w:cs="Times New Roman"/>
          <w:sz w:val="24"/>
          <w:szCs w:val="24"/>
        </w:rPr>
        <w:t xml:space="preserve"> involv</w:t>
      </w:r>
      <w:r w:rsidR="007866E9" w:rsidRPr="006D6A4D">
        <w:rPr>
          <w:rFonts w:ascii="Times New Roman" w:hAnsi="Times New Roman" w:cs="Times New Roman"/>
          <w:sz w:val="24"/>
          <w:szCs w:val="24"/>
        </w:rPr>
        <w:t>ing</w:t>
      </w:r>
      <w:r w:rsidRPr="006D6A4D">
        <w:rPr>
          <w:rFonts w:ascii="Times New Roman" w:hAnsi="Times New Roman" w:cs="Times New Roman"/>
          <w:sz w:val="24"/>
          <w:szCs w:val="24"/>
        </w:rPr>
        <w:t xml:space="preserve"> significant consultation and negotiation between EU bodies and Member State governments. </w:t>
      </w:r>
    </w:p>
    <w:p w:rsidR="00F50AA3" w:rsidRPr="006D6A4D" w:rsidRDefault="00F50AA3" w:rsidP="006D6A4D">
      <w:pPr>
        <w:pStyle w:val="ListParagraph"/>
        <w:numPr>
          <w:ilvl w:val="0"/>
          <w:numId w:val="14"/>
        </w:numPr>
        <w:spacing w:line="360" w:lineRule="auto"/>
        <w:jc w:val="both"/>
        <w:rPr>
          <w:rFonts w:ascii="Times New Roman" w:hAnsi="Times New Roman" w:cs="Times New Roman"/>
          <w:sz w:val="24"/>
          <w:szCs w:val="24"/>
        </w:rPr>
      </w:pPr>
      <w:r w:rsidRPr="006D6A4D">
        <w:rPr>
          <w:rFonts w:ascii="Times New Roman" w:hAnsi="Times New Roman" w:cs="Times New Roman"/>
          <w:sz w:val="24"/>
          <w:szCs w:val="24"/>
        </w:rPr>
        <w:t>At Member State level, there must be agreement on the sequence of actions, processes, and interactions between institutions charged with different elements of RDP delivery and oversight (e.g. Managing Authorities and Paying Agencies, tourism and environmental authorities).</w:t>
      </w:r>
    </w:p>
    <w:p w:rsidR="00F50AA3" w:rsidRPr="006D6A4D" w:rsidRDefault="00F50AA3" w:rsidP="006D6A4D">
      <w:pPr>
        <w:pStyle w:val="ListParagraph"/>
        <w:numPr>
          <w:ilvl w:val="0"/>
          <w:numId w:val="14"/>
        </w:numPr>
        <w:spacing w:line="360" w:lineRule="auto"/>
        <w:jc w:val="both"/>
        <w:rPr>
          <w:rFonts w:ascii="Times New Roman" w:hAnsi="Times New Roman" w:cs="Times New Roman"/>
          <w:sz w:val="24"/>
          <w:szCs w:val="24"/>
        </w:rPr>
      </w:pPr>
      <w:r w:rsidRPr="006D6A4D">
        <w:rPr>
          <w:rFonts w:ascii="Times New Roman" w:hAnsi="Times New Roman" w:cs="Times New Roman"/>
          <w:sz w:val="24"/>
          <w:szCs w:val="24"/>
        </w:rPr>
        <w:t>At the level of final beneficiaries, the provision of support and advice to raise awareness and help beneficiaries prepar</w:t>
      </w:r>
      <w:r w:rsidR="00430E2D" w:rsidRPr="006D6A4D">
        <w:rPr>
          <w:rFonts w:ascii="Times New Roman" w:hAnsi="Times New Roman" w:cs="Times New Roman"/>
          <w:sz w:val="24"/>
          <w:szCs w:val="24"/>
        </w:rPr>
        <w:t>e</w:t>
      </w:r>
      <w:r w:rsidRPr="006D6A4D">
        <w:rPr>
          <w:rFonts w:ascii="Times New Roman" w:hAnsi="Times New Roman" w:cs="Times New Roman"/>
          <w:sz w:val="24"/>
          <w:szCs w:val="24"/>
        </w:rPr>
        <w:t xml:space="preserve"> and submit applications, can be </w:t>
      </w:r>
      <w:r w:rsidR="00430E2D" w:rsidRPr="006D6A4D">
        <w:rPr>
          <w:rFonts w:ascii="Times New Roman" w:hAnsi="Times New Roman" w:cs="Times New Roman"/>
          <w:sz w:val="24"/>
          <w:szCs w:val="24"/>
        </w:rPr>
        <w:t>vital</w:t>
      </w:r>
      <w:r w:rsidR="000A0538">
        <w:rPr>
          <w:rFonts w:ascii="Times New Roman" w:hAnsi="Times New Roman" w:cs="Times New Roman"/>
          <w:sz w:val="24"/>
          <w:szCs w:val="24"/>
        </w:rPr>
        <w:t xml:space="preserve"> in ensuring </w:t>
      </w:r>
      <w:r w:rsidR="006D6A4D">
        <w:rPr>
          <w:rFonts w:ascii="Times New Roman" w:hAnsi="Times New Roman" w:cs="Times New Roman"/>
          <w:sz w:val="24"/>
          <w:szCs w:val="24"/>
        </w:rPr>
        <w:t>effective</w:t>
      </w:r>
      <w:r w:rsidR="000A0538">
        <w:rPr>
          <w:rFonts w:ascii="Times New Roman" w:hAnsi="Times New Roman" w:cs="Times New Roman"/>
          <w:sz w:val="24"/>
          <w:szCs w:val="24"/>
        </w:rPr>
        <w:t xml:space="preserve"> u</w:t>
      </w:r>
      <w:r w:rsidR="006D6A4D">
        <w:rPr>
          <w:rFonts w:ascii="Times New Roman" w:hAnsi="Times New Roman" w:cs="Times New Roman"/>
          <w:sz w:val="24"/>
          <w:szCs w:val="24"/>
        </w:rPr>
        <w:t>se</w:t>
      </w:r>
      <w:r w:rsidR="000A0538">
        <w:rPr>
          <w:rFonts w:ascii="Times New Roman" w:hAnsi="Times New Roman" w:cs="Times New Roman"/>
          <w:sz w:val="24"/>
          <w:szCs w:val="24"/>
        </w:rPr>
        <w:t xml:space="preserve"> of funding</w:t>
      </w:r>
      <w:r w:rsidRPr="006D6A4D">
        <w:rPr>
          <w:rFonts w:ascii="Times New Roman" w:hAnsi="Times New Roman" w:cs="Times New Roman"/>
          <w:sz w:val="24"/>
          <w:szCs w:val="24"/>
        </w:rPr>
        <w:t>.</w:t>
      </w:r>
    </w:p>
    <w:p w:rsidR="00F50AA3" w:rsidRPr="006D6A4D" w:rsidRDefault="00F50AA3" w:rsidP="006D6A4D">
      <w:pPr>
        <w:pStyle w:val="ListParagraph"/>
        <w:numPr>
          <w:ilvl w:val="0"/>
          <w:numId w:val="14"/>
        </w:numPr>
        <w:spacing w:line="360" w:lineRule="auto"/>
        <w:jc w:val="both"/>
        <w:rPr>
          <w:rFonts w:ascii="Times New Roman" w:hAnsi="Times New Roman" w:cs="Times New Roman"/>
          <w:sz w:val="24"/>
          <w:szCs w:val="24"/>
        </w:rPr>
      </w:pPr>
      <w:r w:rsidRPr="006D6A4D">
        <w:rPr>
          <w:rFonts w:ascii="Times New Roman" w:hAnsi="Times New Roman" w:cs="Times New Roman"/>
          <w:sz w:val="24"/>
          <w:szCs w:val="24"/>
        </w:rPr>
        <w:t>Appraisal, selection, approval and agreement of project funding with beneficiaries all require</w:t>
      </w:r>
      <w:r w:rsidR="00430E2D" w:rsidRPr="006D6A4D">
        <w:rPr>
          <w:rFonts w:ascii="Times New Roman" w:hAnsi="Times New Roman" w:cs="Times New Roman"/>
          <w:sz w:val="24"/>
          <w:szCs w:val="24"/>
        </w:rPr>
        <w:t>s</w:t>
      </w:r>
      <w:r w:rsidRPr="006D6A4D">
        <w:rPr>
          <w:rFonts w:ascii="Times New Roman" w:hAnsi="Times New Roman" w:cs="Times New Roman"/>
          <w:sz w:val="24"/>
          <w:szCs w:val="24"/>
        </w:rPr>
        <w:t xml:space="preserve"> time and effort. </w:t>
      </w:r>
    </w:p>
    <w:p w:rsidR="00F50AA3" w:rsidRPr="006D6A4D" w:rsidRDefault="00F50AA3" w:rsidP="006D6A4D">
      <w:pPr>
        <w:pStyle w:val="ListParagraph"/>
        <w:numPr>
          <w:ilvl w:val="0"/>
          <w:numId w:val="14"/>
        </w:numPr>
        <w:spacing w:line="360" w:lineRule="auto"/>
        <w:jc w:val="both"/>
      </w:pPr>
      <w:r w:rsidRPr="006D6A4D">
        <w:rPr>
          <w:rFonts w:ascii="Times New Roman" w:hAnsi="Times New Roman" w:cs="Times New Roman"/>
          <w:sz w:val="24"/>
          <w:szCs w:val="24"/>
        </w:rPr>
        <w:t xml:space="preserve">Managing Authorities and Paying Agencies are charged with monitoring and enforcing compliance with funding conditions, after contracts are agreed, works undertaken and receipts claimed; also </w:t>
      </w:r>
      <w:r w:rsidR="0054469A" w:rsidRPr="006D6A4D">
        <w:rPr>
          <w:rFonts w:ascii="Times New Roman" w:hAnsi="Times New Roman" w:cs="Times New Roman"/>
          <w:sz w:val="24"/>
          <w:szCs w:val="24"/>
        </w:rPr>
        <w:t>with</w:t>
      </w:r>
      <w:r w:rsidR="0054469A" w:rsidRPr="006D6A4D">
        <w:t xml:space="preserve"> </w:t>
      </w:r>
      <w:r w:rsidRPr="006D6A4D">
        <w:t>RDP evaluation and reporting.</w:t>
      </w:r>
    </w:p>
    <w:p w:rsidR="00CA5CFD" w:rsidRPr="00CA5CFD" w:rsidRDefault="00F50AA3" w:rsidP="00F50AA3">
      <w:pPr>
        <w:spacing w:line="360" w:lineRule="auto"/>
        <w:jc w:val="both"/>
        <w:rPr>
          <w:rFonts w:ascii="Times New Roman" w:hAnsi="Times New Roman" w:cs="Times New Roman"/>
          <w:b/>
          <w:sz w:val="24"/>
          <w:szCs w:val="24"/>
        </w:rPr>
      </w:pPr>
      <w:r w:rsidRPr="00044A29">
        <w:rPr>
          <w:rFonts w:ascii="Times New Roman" w:hAnsi="Times New Roman" w:cs="Times New Roman"/>
          <w:b/>
          <w:sz w:val="24"/>
          <w:szCs w:val="24"/>
        </w:rPr>
        <w:lastRenderedPageBreak/>
        <w:t xml:space="preserve">Figure 1. Critical transaction nodes in the RDP policy cycle (Source: authors’ own) </w:t>
      </w:r>
      <w:r w:rsidRPr="00F50AA3">
        <w:rPr>
          <w:rFonts w:ascii="Times New Roman" w:hAnsi="Times New Roman" w:cs="Times New Roman"/>
          <w:sz w:val="24"/>
          <w:szCs w:val="24"/>
        </w:rPr>
        <w:t xml:space="preserve"> </w:t>
      </w:r>
      <w:r w:rsidR="00044A29">
        <w:rPr>
          <w:rFonts w:ascii="Times New Roman" w:hAnsi="Times New Roman" w:cs="Times New Roman"/>
          <w:noProof/>
          <w:sz w:val="24"/>
          <w:szCs w:val="24"/>
        </w:rPr>
        <w:drawing>
          <wp:inline distT="0" distB="0" distL="0" distR="0">
            <wp:extent cx="5956300" cy="445071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6300" cy="4450715"/>
                    </a:xfrm>
                    <a:prstGeom prst="rect">
                      <a:avLst/>
                    </a:prstGeom>
                    <a:noFill/>
                  </pic:spPr>
                </pic:pic>
              </a:graphicData>
            </a:graphic>
          </wp:inline>
        </w:drawing>
      </w:r>
    </w:p>
    <w:p w:rsidR="0054469A" w:rsidRDefault="00F50AA3" w:rsidP="00F50AA3">
      <w:pPr>
        <w:spacing w:line="360" w:lineRule="auto"/>
        <w:jc w:val="both"/>
        <w:rPr>
          <w:rFonts w:ascii="Times New Roman" w:hAnsi="Times New Roman" w:cs="Times New Roman"/>
          <w:sz w:val="24"/>
          <w:szCs w:val="24"/>
        </w:rPr>
      </w:pPr>
      <w:r w:rsidRPr="00F50AA3">
        <w:rPr>
          <w:rFonts w:ascii="Times New Roman" w:hAnsi="Times New Roman" w:cs="Times New Roman"/>
          <w:sz w:val="24"/>
          <w:szCs w:val="24"/>
        </w:rPr>
        <w:t xml:space="preserve"> </w:t>
      </w:r>
    </w:p>
    <w:p w:rsidR="00F50AA3" w:rsidRDefault="00CA5CFD" w:rsidP="00137E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Malta and England cases illustrate </w:t>
      </w:r>
      <w:r w:rsidR="00F50AA3" w:rsidRPr="00F50AA3">
        <w:rPr>
          <w:rFonts w:ascii="Times New Roman" w:hAnsi="Times New Roman" w:cs="Times New Roman"/>
          <w:sz w:val="24"/>
          <w:szCs w:val="24"/>
        </w:rPr>
        <w:t xml:space="preserve">difficulties arising from asymmetries of knowledge and understanding, and of associated conflict. Some of these arise at the European Commission (EC) - Member State (MS) interface, as MSs negotiate their goals with the Commission.  At the Member State level asymmetries are also apparent, particularly between Managing Authorities, Paying Agencies and beneficiary groups.  For instance, beneficiaries may not understand the desired outcomes of RDP funding, and public officials are unlikely to know the constraints and cost-bases facing all the different target groups that they seek to support. </w:t>
      </w:r>
    </w:p>
    <w:p w:rsidR="00137E85" w:rsidRPr="00F50AA3" w:rsidRDefault="00137E85" w:rsidP="00137E85">
      <w:pPr>
        <w:spacing w:after="0" w:line="360" w:lineRule="auto"/>
        <w:jc w:val="both"/>
        <w:rPr>
          <w:rFonts w:ascii="Times New Roman" w:hAnsi="Times New Roman" w:cs="Times New Roman"/>
          <w:sz w:val="24"/>
          <w:szCs w:val="24"/>
        </w:rPr>
      </w:pPr>
    </w:p>
    <w:p w:rsidR="00F50AA3" w:rsidRDefault="00F50AA3" w:rsidP="00137E85">
      <w:pPr>
        <w:spacing w:after="0" w:line="360" w:lineRule="auto"/>
        <w:jc w:val="both"/>
        <w:rPr>
          <w:rFonts w:ascii="Times New Roman" w:hAnsi="Times New Roman" w:cs="Times New Roman"/>
          <w:sz w:val="24"/>
          <w:szCs w:val="24"/>
        </w:rPr>
      </w:pPr>
      <w:r w:rsidRPr="00F50AA3">
        <w:rPr>
          <w:rFonts w:ascii="Times New Roman" w:hAnsi="Times New Roman" w:cs="Times New Roman"/>
          <w:sz w:val="24"/>
          <w:szCs w:val="24"/>
        </w:rPr>
        <w:t>In addition there are capacity shortfalls</w:t>
      </w:r>
      <w:r w:rsidR="007866E9">
        <w:rPr>
          <w:rFonts w:ascii="Times New Roman" w:hAnsi="Times New Roman" w:cs="Times New Roman"/>
          <w:sz w:val="24"/>
          <w:szCs w:val="24"/>
        </w:rPr>
        <w:t>.</w:t>
      </w:r>
      <w:r w:rsidRPr="00F50AA3">
        <w:rPr>
          <w:rFonts w:ascii="Times New Roman" w:hAnsi="Times New Roman" w:cs="Times New Roman"/>
          <w:sz w:val="24"/>
          <w:szCs w:val="24"/>
        </w:rPr>
        <w:t xml:space="preserve"> </w:t>
      </w:r>
      <w:r w:rsidR="007866E9">
        <w:rPr>
          <w:rFonts w:ascii="Times New Roman" w:hAnsi="Times New Roman" w:cs="Times New Roman"/>
          <w:sz w:val="24"/>
          <w:szCs w:val="24"/>
        </w:rPr>
        <w:t>B</w:t>
      </w:r>
      <w:r w:rsidRPr="00F50AA3">
        <w:rPr>
          <w:rFonts w:ascii="Times New Roman" w:hAnsi="Times New Roman" w:cs="Times New Roman"/>
          <w:sz w:val="24"/>
          <w:szCs w:val="24"/>
        </w:rPr>
        <w:t>eneficiaries</w:t>
      </w:r>
      <w:r w:rsidR="00E21596">
        <w:rPr>
          <w:rFonts w:ascii="Times New Roman" w:hAnsi="Times New Roman" w:cs="Times New Roman"/>
          <w:sz w:val="24"/>
          <w:szCs w:val="24"/>
        </w:rPr>
        <w:t xml:space="preserve"> </w:t>
      </w:r>
      <w:r w:rsidRPr="00F50AA3">
        <w:rPr>
          <w:rFonts w:ascii="Times New Roman" w:hAnsi="Times New Roman" w:cs="Times New Roman"/>
          <w:sz w:val="24"/>
          <w:szCs w:val="24"/>
        </w:rPr>
        <w:t>frequently lack the skills to fulfi</w:t>
      </w:r>
      <w:r w:rsidR="00E21596">
        <w:rPr>
          <w:rFonts w:ascii="Times New Roman" w:hAnsi="Times New Roman" w:cs="Times New Roman"/>
          <w:sz w:val="24"/>
          <w:szCs w:val="24"/>
        </w:rPr>
        <w:t>l</w:t>
      </w:r>
      <w:r w:rsidRPr="00F50AA3">
        <w:rPr>
          <w:rFonts w:ascii="Times New Roman" w:hAnsi="Times New Roman" w:cs="Times New Roman"/>
          <w:sz w:val="24"/>
          <w:szCs w:val="24"/>
        </w:rPr>
        <w:t>l some of the basic conditions of applying for funding (e.g. the requirement for business plans, to justify farm investment aid)</w:t>
      </w:r>
      <w:r w:rsidR="00E21596">
        <w:rPr>
          <w:rFonts w:ascii="Times New Roman" w:hAnsi="Times New Roman" w:cs="Times New Roman"/>
          <w:sz w:val="24"/>
          <w:szCs w:val="24"/>
        </w:rPr>
        <w:t>.  T</w:t>
      </w:r>
      <w:r w:rsidRPr="00F50AA3">
        <w:rPr>
          <w:rFonts w:ascii="Times New Roman" w:hAnsi="Times New Roman" w:cs="Times New Roman"/>
          <w:sz w:val="24"/>
          <w:szCs w:val="24"/>
        </w:rPr>
        <w:t xml:space="preserve">he costs of acquiring assistance may discourage applications from </w:t>
      </w:r>
      <w:r w:rsidRPr="00F50AA3">
        <w:rPr>
          <w:rFonts w:ascii="Times New Roman" w:hAnsi="Times New Roman" w:cs="Times New Roman"/>
          <w:sz w:val="24"/>
          <w:szCs w:val="24"/>
        </w:rPr>
        <w:lastRenderedPageBreak/>
        <w:t xml:space="preserve">certain social groups, reducing uptake and/or lowering the additionality associated with contracts. Conversely, where MAs lack resources (including human and social capital) to respond effectively to Commission requirements in respect of auditing, accounting, monitoring and control, they may simplify or reduce the ambition or scope of programmes primarily to render them more feasible to operate, rather than designing first and foremost to meet needs. </w:t>
      </w:r>
    </w:p>
    <w:p w:rsidR="007866E9" w:rsidRDefault="007866E9" w:rsidP="00137E85">
      <w:pPr>
        <w:spacing w:after="0" w:line="360" w:lineRule="auto"/>
        <w:jc w:val="both"/>
        <w:rPr>
          <w:rFonts w:ascii="Times New Roman" w:hAnsi="Times New Roman" w:cs="Times New Roman"/>
          <w:sz w:val="24"/>
          <w:szCs w:val="24"/>
        </w:rPr>
      </w:pPr>
    </w:p>
    <w:p w:rsidR="00282801" w:rsidRDefault="00BA736D" w:rsidP="00137E85">
      <w:pPr>
        <w:spacing w:after="0" w:line="360" w:lineRule="auto"/>
        <w:jc w:val="both"/>
        <w:rPr>
          <w:rFonts w:ascii="Times New Roman" w:hAnsi="Times New Roman" w:cs="Times New Roman"/>
          <w:sz w:val="24"/>
          <w:szCs w:val="24"/>
        </w:rPr>
      </w:pPr>
      <w:r w:rsidRPr="00BA736D">
        <w:rPr>
          <w:rFonts w:ascii="Times New Roman" w:hAnsi="Times New Roman" w:cs="Times New Roman"/>
          <w:sz w:val="24"/>
          <w:szCs w:val="24"/>
        </w:rPr>
        <w:t>In view of the scale, duration and significance of the RDPs in current EU policy, closer attention to the nature and balance of the transactions upon which they rely is warranted.</w:t>
      </w:r>
      <w:r>
        <w:rPr>
          <w:rFonts w:ascii="Times New Roman" w:hAnsi="Times New Roman" w:cs="Times New Roman"/>
          <w:sz w:val="24"/>
          <w:szCs w:val="24"/>
        </w:rPr>
        <w:t xml:space="preserve"> </w:t>
      </w:r>
      <w:r w:rsidR="00E21596">
        <w:rPr>
          <w:rFonts w:ascii="Times New Roman" w:hAnsi="Times New Roman" w:cs="Times New Roman"/>
          <w:sz w:val="24"/>
          <w:szCs w:val="24"/>
        </w:rPr>
        <w:t>T</w:t>
      </w:r>
      <w:r w:rsidR="008839F5">
        <w:rPr>
          <w:rFonts w:ascii="Times New Roman" w:hAnsi="Times New Roman" w:cs="Times New Roman"/>
          <w:sz w:val="24"/>
          <w:szCs w:val="24"/>
        </w:rPr>
        <w:t>he challenge for public authorities</w:t>
      </w:r>
      <w:r w:rsidR="00E21596">
        <w:rPr>
          <w:rFonts w:ascii="Times New Roman" w:hAnsi="Times New Roman" w:cs="Times New Roman"/>
          <w:sz w:val="24"/>
          <w:szCs w:val="24"/>
        </w:rPr>
        <w:t xml:space="preserve"> is</w:t>
      </w:r>
      <w:r w:rsidR="008839F5">
        <w:rPr>
          <w:rFonts w:ascii="Times New Roman" w:hAnsi="Times New Roman" w:cs="Times New Roman"/>
          <w:sz w:val="24"/>
          <w:szCs w:val="24"/>
        </w:rPr>
        <w:t xml:space="preserve"> to look beyond</w:t>
      </w:r>
      <w:r w:rsidR="00DA6482" w:rsidRPr="00CF1AD4">
        <w:rPr>
          <w:rFonts w:ascii="Times New Roman" w:hAnsi="Times New Roman" w:cs="Times New Roman"/>
          <w:sz w:val="24"/>
          <w:szCs w:val="24"/>
        </w:rPr>
        <w:t xml:space="preserve"> a</w:t>
      </w:r>
      <w:r w:rsidR="008839F5">
        <w:rPr>
          <w:rFonts w:ascii="Times New Roman" w:hAnsi="Times New Roman" w:cs="Times New Roman"/>
          <w:sz w:val="24"/>
          <w:szCs w:val="24"/>
        </w:rPr>
        <w:t xml:space="preserve"> short-term desire to</w:t>
      </w:r>
      <w:r w:rsidR="00DA6482" w:rsidRPr="00CF1AD4">
        <w:rPr>
          <w:rFonts w:ascii="Times New Roman" w:hAnsi="Times New Roman" w:cs="Times New Roman"/>
          <w:sz w:val="24"/>
          <w:szCs w:val="24"/>
        </w:rPr>
        <w:t xml:space="preserve"> </w:t>
      </w:r>
      <w:r w:rsidR="000C5926" w:rsidRPr="00CF1AD4">
        <w:rPr>
          <w:rFonts w:ascii="Times New Roman" w:hAnsi="Times New Roman" w:cs="Times New Roman"/>
          <w:sz w:val="24"/>
          <w:szCs w:val="24"/>
        </w:rPr>
        <w:t>reduc</w:t>
      </w:r>
      <w:r w:rsidR="008839F5">
        <w:rPr>
          <w:rFonts w:ascii="Times New Roman" w:hAnsi="Times New Roman" w:cs="Times New Roman"/>
          <w:sz w:val="24"/>
          <w:szCs w:val="24"/>
        </w:rPr>
        <w:t>e</w:t>
      </w:r>
      <w:r w:rsidR="000C5926" w:rsidRPr="00CF1AD4">
        <w:rPr>
          <w:rFonts w:ascii="Times New Roman" w:hAnsi="Times New Roman" w:cs="Times New Roman"/>
          <w:sz w:val="24"/>
          <w:szCs w:val="24"/>
        </w:rPr>
        <w:t xml:space="preserve"> </w:t>
      </w:r>
      <w:r w:rsidR="00192673">
        <w:rPr>
          <w:rFonts w:ascii="Times New Roman" w:hAnsi="Times New Roman" w:cs="Times New Roman"/>
          <w:sz w:val="24"/>
          <w:szCs w:val="24"/>
        </w:rPr>
        <w:t xml:space="preserve">the </w:t>
      </w:r>
      <w:r w:rsidR="00E21596">
        <w:rPr>
          <w:rFonts w:ascii="Times New Roman" w:hAnsi="Times New Roman" w:cs="Times New Roman"/>
          <w:sz w:val="24"/>
          <w:szCs w:val="24"/>
        </w:rPr>
        <w:t>immediate</w:t>
      </w:r>
      <w:r w:rsidR="00E21596" w:rsidRPr="00CF1AD4">
        <w:rPr>
          <w:rFonts w:ascii="Times New Roman" w:hAnsi="Times New Roman" w:cs="Times New Roman"/>
          <w:sz w:val="24"/>
          <w:szCs w:val="24"/>
        </w:rPr>
        <w:t xml:space="preserve"> </w:t>
      </w:r>
      <w:r w:rsidR="000C5926" w:rsidRPr="00CF1AD4">
        <w:rPr>
          <w:rFonts w:ascii="Times New Roman" w:hAnsi="Times New Roman" w:cs="Times New Roman"/>
          <w:sz w:val="24"/>
          <w:szCs w:val="24"/>
        </w:rPr>
        <w:t>costs</w:t>
      </w:r>
      <w:r w:rsidR="00DA6482" w:rsidRPr="00CF1AD4">
        <w:rPr>
          <w:rFonts w:ascii="Times New Roman" w:hAnsi="Times New Roman" w:cs="Times New Roman"/>
          <w:sz w:val="24"/>
          <w:szCs w:val="24"/>
        </w:rPr>
        <w:t xml:space="preserve"> </w:t>
      </w:r>
      <w:r w:rsidR="00192673">
        <w:rPr>
          <w:rFonts w:ascii="Times New Roman" w:hAnsi="Times New Roman" w:cs="Times New Roman"/>
          <w:sz w:val="24"/>
          <w:szCs w:val="24"/>
        </w:rPr>
        <w:t xml:space="preserve">arising </w:t>
      </w:r>
      <w:r w:rsidR="00DA6482" w:rsidRPr="00CF1AD4">
        <w:rPr>
          <w:rFonts w:ascii="Times New Roman" w:hAnsi="Times New Roman" w:cs="Times New Roman"/>
          <w:sz w:val="24"/>
          <w:szCs w:val="24"/>
        </w:rPr>
        <w:t>from individual transaction processes</w:t>
      </w:r>
      <w:r w:rsidR="00CA5CFD">
        <w:rPr>
          <w:rFonts w:ascii="Times New Roman" w:hAnsi="Times New Roman" w:cs="Times New Roman"/>
          <w:sz w:val="24"/>
          <w:szCs w:val="24"/>
        </w:rPr>
        <w:t xml:space="preserve"> and instead consider how transactions can become generators of net benefit </w:t>
      </w:r>
      <w:r w:rsidR="00192673">
        <w:rPr>
          <w:rFonts w:ascii="Times New Roman" w:hAnsi="Times New Roman" w:cs="Times New Roman"/>
          <w:sz w:val="24"/>
          <w:szCs w:val="24"/>
        </w:rPr>
        <w:t xml:space="preserve">through </w:t>
      </w:r>
      <w:r w:rsidR="008839F5">
        <w:rPr>
          <w:rFonts w:ascii="Times New Roman" w:hAnsi="Times New Roman" w:cs="Times New Roman"/>
          <w:sz w:val="24"/>
          <w:szCs w:val="24"/>
        </w:rPr>
        <w:t xml:space="preserve">investment in </w:t>
      </w:r>
      <w:r w:rsidR="00192673">
        <w:rPr>
          <w:rFonts w:ascii="Times New Roman" w:hAnsi="Times New Roman" w:cs="Times New Roman"/>
          <w:sz w:val="24"/>
          <w:szCs w:val="24"/>
        </w:rPr>
        <w:t>alternative approaches</w:t>
      </w:r>
      <w:r w:rsidR="00E21596">
        <w:rPr>
          <w:rFonts w:ascii="Times New Roman" w:hAnsi="Times New Roman" w:cs="Times New Roman"/>
          <w:sz w:val="24"/>
          <w:szCs w:val="24"/>
        </w:rPr>
        <w:t>, even though the</w:t>
      </w:r>
      <w:r w:rsidR="00CA3F21">
        <w:rPr>
          <w:rFonts w:ascii="Times New Roman" w:hAnsi="Times New Roman" w:cs="Times New Roman"/>
          <w:sz w:val="24"/>
          <w:szCs w:val="24"/>
        </w:rPr>
        <w:t>se</w:t>
      </w:r>
      <w:r w:rsidR="00652B3C">
        <w:rPr>
          <w:rFonts w:ascii="Times New Roman" w:hAnsi="Times New Roman" w:cs="Times New Roman"/>
          <w:sz w:val="24"/>
          <w:szCs w:val="24"/>
        </w:rPr>
        <w:t xml:space="preserve"> may initially be more costly to establish</w:t>
      </w:r>
      <w:r w:rsidR="00192B82">
        <w:rPr>
          <w:rFonts w:ascii="Times New Roman" w:hAnsi="Times New Roman" w:cs="Times New Roman"/>
          <w:sz w:val="24"/>
          <w:szCs w:val="24"/>
        </w:rPr>
        <w:t xml:space="preserve">. </w:t>
      </w:r>
      <w:r w:rsidR="00652B3C">
        <w:rPr>
          <w:rFonts w:ascii="Times New Roman" w:hAnsi="Times New Roman" w:cs="Times New Roman"/>
          <w:sz w:val="24"/>
          <w:szCs w:val="24"/>
        </w:rPr>
        <w:t>We accept that a</w:t>
      </w:r>
      <w:r w:rsidR="00812535">
        <w:rPr>
          <w:rFonts w:ascii="Times New Roman" w:hAnsi="Times New Roman" w:cs="Times New Roman"/>
          <w:sz w:val="24"/>
          <w:szCs w:val="24"/>
        </w:rPr>
        <w:t xml:space="preserve">ssessing net benefits </w:t>
      </w:r>
      <w:r w:rsidR="00652B3C">
        <w:rPr>
          <w:rFonts w:ascii="Times New Roman" w:hAnsi="Times New Roman" w:cs="Times New Roman"/>
          <w:sz w:val="24"/>
          <w:szCs w:val="24"/>
        </w:rPr>
        <w:t xml:space="preserve">in practice </w:t>
      </w:r>
      <w:r w:rsidR="00812535">
        <w:rPr>
          <w:rFonts w:ascii="Times New Roman" w:hAnsi="Times New Roman" w:cs="Times New Roman"/>
          <w:sz w:val="24"/>
          <w:szCs w:val="24"/>
        </w:rPr>
        <w:t>is</w:t>
      </w:r>
      <w:r w:rsidR="00652B3C">
        <w:rPr>
          <w:rFonts w:ascii="Times New Roman" w:hAnsi="Times New Roman" w:cs="Times New Roman"/>
          <w:sz w:val="24"/>
          <w:szCs w:val="24"/>
        </w:rPr>
        <w:t xml:space="preserve"> not a simple task, and that many design and delivery features</w:t>
      </w:r>
      <w:r>
        <w:rPr>
          <w:rFonts w:ascii="Times New Roman" w:hAnsi="Times New Roman" w:cs="Times New Roman"/>
          <w:sz w:val="24"/>
          <w:szCs w:val="24"/>
        </w:rPr>
        <w:t xml:space="preserve"> recommended</w:t>
      </w:r>
      <w:r w:rsidR="00652B3C">
        <w:rPr>
          <w:rFonts w:ascii="Times New Roman" w:hAnsi="Times New Roman" w:cs="Times New Roman"/>
          <w:sz w:val="24"/>
          <w:szCs w:val="24"/>
        </w:rPr>
        <w:t xml:space="preserve"> </w:t>
      </w:r>
      <w:r>
        <w:rPr>
          <w:rFonts w:ascii="Times New Roman" w:hAnsi="Times New Roman" w:cs="Times New Roman"/>
          <w:sz w:val="24"/>
          <w:szCs w:val="24"/>
        </w:rPr>
        <w:t>by</w:t>
      </w:r>
      <w:r w:rsidR="00652B3C">
        <w:rPr>
          <w:rFonts w:ascii="Times New Roman" w:hAnsi="Times New Roman" w:cs="Times New Roman"/>
          <w:sz w:val="24"/>
          <w:szCs w:val="24"/>
        </w:rPr>
        <w:t xml:space="preserve"> the analysis covered in this paper cannot yet be thoroughly tested</w:t>
      </w:r>
      <w:r w:rsidR="00812535">
        <w:rPr>
          <w:rFonts w:ascii="Times New Roman" w:hAnsi="Times New Roman" w:cs="Times New Roman"/>
          <w:sz w:val="24"/>
          <w:szCs w:val="24"/>
        </w:rPr>
        <w:t xml:space="preserve">. </w:t>
      </w:r>
      <w:r w:rsidR="00652B3C">
        <w:rPr>
          <w:rFonts w:ascii="Times New Roman" w:hAnsi="Times New Roman" w:cs="Times New Roman"/>
          <w:sz w:val="24"/>
          <w:szCs w:val="24"/>
        </w:rPr>
        <w:t>Nonetheless</w:t>
      </w:r>
      <w:r w:rsidR="00812535">
        <w:rPr>
          <w:rFonts w:ascii="Times New Roman" w:hAnsi="Times New Roman" w:cs="Times New Roman"/>
          <w:sz w:val="24"/>
          <w:szCs w:val="24"/>
        </w:rPr>
        <w:t xml:space="preserve">, </w:t>
      </w:r>
      <w:r w:rsidR="000A0441">
        <w:rPr>
          <w:rFonts w:ascii="Times New Roman" w:hAnsi="Times New Roman" w:cs="Times New Roman"/>
          <w:sz w:val="24"/>
          <w:szCs w:val="24"/>
        </w:rPr>
        <w:t>stakeholders and delivery agencies in both Malta and England recogni</w:t>
      </w:r>
      <w:r w:rsidR="00E21596">
        <w:rPr>
          <w:rFonts w:ascii="Times New Roman" w:hAnsi="Times New Roman" w:cs="Times New Roman"/>
          <w:sz w:val="24"/>
          <w:szCs w:val="24"/>
        </w:rPr>
        <w:t>s</w:t>
      </w:r>
      <w:r w:rsidR="000A0441">
        <w:rPr>
          <w:rFonts w:ascii="Times New Roman" w:hAnsi="Times New Roman" w:cs="Times New Roman"/>
          <w:sz w:val="24"/>
          <w:szCs w:val="24"/>
        </w:rPr>
        <w:t>ed and responded positively to the</w:t>
      </w:r>
      <w:r>
        <w:rPr>
          <w:rFonts w:ascii="Times New Roman" w:hAnsi="Times New Roman" w:cs="Times New Roman"/>
          <w:sz w:val="24"/>
          <w:szCs w:val="24"/>
        </w:rPr>
        <w:t>se</w:t>
      </w:r>
      <w:r w:rsidR="000A0441">
        <w:rPr>
          <w:rFonts w:ascii="Times New Roman" w:hAnsi="Times New Roman" w:cs="Times New Roman"/>
          <w:sz w:val="24"/>
          <w:szCs w:val="24"/>
        </w:rPr>
        <w:t xml:space="preserve"> suggestions</w:t>
      </w:r>
      <w:r w:rsidR="00DA6482" w:rsidRPr="00CF1AD4">
        <w:rPr>
          <w:rFonts w:ascii="Times New Roman" w:hAnsi="Times New Roman" w:cs="Times New Roman"/>
          <w:sz w:val="24"/>
          <w:szCs w:val="24"/>
        </w:rPr>
        <w:t>.</w:t>
      </w:r>
      <w:r w:rsidR="000C5926" w:rsidRPr="00CF1AD4">
        <w:rPr>
          <w:rFonts w:ascii="Times New Roman" w:hAnsi="Times New Roman" w:cs="Times New Roman"/>
          <w:sz w:val="24"/>
          <w:szCs w:val="24"/>
        </w:rPr>
        <w:t xml:space="preserve"> </w:t>
      </w:r>
      <w:r w:rsidR="00FC6780">
        <w:rPr>
          <w:rFonts w:ascii="Times New Roman" w:hAnsi="Times New Roman" w:cs="Times New Roman"/>
          <w:sz w:val="24"/>
          <w:szCs w:val="24"/>
        </w:rPr>
        <w:t xml:space="preserve"> </w:t>
      </w:r>
    </w:p>
    <w:p w:rsidR="00137E85" w:rsidRDefault="00137E85" w:rsidP="00137E85">
      <w:pPr>
        <w:spacing w:after="0" w:line="360" w:lineRule="auto"/>
        <w:jc w:val="both"/>
        <w:rPr>
          <w:rFonts w:ascii="Times New Roman" w:hAnsi="Times New Roman" w:cs="Times New Roman"/>
          <w:sz w:val="24"/>
          <w:szCs w:val="24"/>
        </w:rPr>
      </w:pPr>
    </w:p>
    <w:p w:rsidR="009A7524" w:rsidRDefault="00EE518E" w:rsidP="00DF40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31393E">
        <w:rPr>
          <w:rFonts w:ascii="Times New Roman" w:hAnsi="Times New Roman" w:cs="Times New Roman"/>
          <w:sz w:val="24"/>
          <w:szCs w:val="24"/>
        </w:rPr>
        <w:t xml:space="preserve">revious authors have </w:t>
      </w:r>
      <w:r>
        <w:rPr>
          <w:rFonts w:ascii="Times New Roman" w:hAnsi="Times New Roman" w:cs="Times New Roman"/>
          <w:sz w:val="24"/>
          <w:szCs w:val="24"/>
        </w:rPr>
        <w:t xml:space="preserve">considered </w:t>
      </w:r>
      <w:r w:rsidR="006A5759">
        <w:rPr>
          <w:rFonts w:ascii="Times New Roman" w:hAnsi="Times New Roman" w:cs="Times New Roman"/>
          <w:sz w:val="24"/>
          <w:szCs w:val="24"/>
        </w:rPr>
        <w:t>how</w:t>
      </w:r>
      <w:r w:rsidR="0031393E">
        <w:rPr>
          <w:rFonts w:ascii="Times New Roman" w:hAnsi="Times New Roman" w:cs="Times New Roman"/>
          <w:sz w:val="24"/>
          <w:szCs w:val="24"/>
        </w:rPr>
        <w:t xml:space="preserve"> design and delivery of RDPs can </w:t>
      </w:r>
      <w:r w:rsidR="00684393">
        <w:rPr>
          <w:rFonts w:ascii="Times New Roman" w:hAnsi="Times New Roman" w:cs="Times New Roman"/>
          <w:sz w:val="24"/>
          <w:szCs w:val="24"/>
        </w:rPr>
        <w:t>affect</w:t>
      </w:r>
      <w:r w:rsidR="0031393E">
        <w:rPr>
          <w:rFonts w:ascii="Times New Roman" w:hAnsi="Times New Roman" w:cs="Times New Roman"/>
          <w:sz w:val="24"/>
          <w:szCs w:val="24"/>
        </w:rPr>
        <w:t xml:space="preserve"> scheme performance </w:t>
      </w:r>
      <w:r w:rsidR="006A5759">
        <w:rPr>
          <w:rFonts w:ascii="Times New Roman" w:hAnsi="Times New Roman" w:cs="Times New Roman"/>
          <w:sz w:val="24"/>
          <w:szCs w:val="24"/>
        </w:rPr>
        <w:t>across the EU</w:t>
      </w:r>
      <w:r w:rsidR="0031393E">
        <w:rPr>
          <w:rFonts w:ascii="Times New Roman" w:hAnsi="Times New Roman" w:cs="Times New Roman"/>
          <w:sz w:val="24"/>
          <w:szCs w:val="24"/>
        </w:rPr>
        <w:t xml:space="preserve"> (e.g. ENRD, 2010; Schiller et al, 2010; Mantino, 2012)</w:t>
      </w:r>
      <w:r w:rsidR="00D94218">
        <w:rPr>
          <w:rFonts w:ascii="Times New Roman" w:hAnsi="Times New Roman" w:cs="Times New Roman"/>
          <w:sz w:val="24"/>
          <w:szCs w:val="24"/>
        </w:rPr>
        <w:t xml:space="preserve"> and there has been useful reflection upon some of these issues in respect of the new RDPs (ENRD, 2016)</w:t>
      </w:r>
      <w:r w:rsidR="00430E2D">
        <w:rPr>
          <w:rFonts w:ascii="Times New Roman" w:hAnsi="Times New Roman" w:cs="Times New Roman"/>
          <w:sz w:val="24"/>
          <w:szCs w:val="24"/>
        </w:rPr>
        <w:t xml:space="preserve">, but little in-depth analysis of underlying causes of good or </w:t>
      </w:r>
      <w:r w:rsidR="00CA3F21">
        <w:rPr>
          <w:rFonts w:ascii="Times New Roman" w:hAnsi="Times New Roman" w:cs="Times New Roman"/>
          <w:sz w:val="24"/>
          <w:szCs w:val="24"/>
        </w:rPr>
        <w:t xml:space="preserve">poor </w:t>
      </w:r>
      <w:r w:rsidR="00430E2D">
        <w:rPr>
          <w:rFonts w:ascii="Times New Roman" w:hAnsi="Times New Roman" w:cs="Times New Roman"/>
          <w:sz w:val="24"/>
          <w:szCs w:val="24"/>
        </w:rPr>
        <w:t>performance</w:t>
      </w:r>
      <w:r w:rsidR="0031393E">
        <w:rPr>
          <w:rFonts w:ascii="Times New Roman" w:hAnsi="Times New Roman" w:cs="Times New Roman"/>
          <w:sz w:val="24"/>
          <w:szCs w:val="24"/>
        </w:rPr>
        <w:t>.</w:t>
      </w:r>
      <w:r w:rsidR="00684393">
        <w:rPr>
          <w:rFonts w:ascii="Times New Roman" w:hAnsi="Times New Roman" w:cs="Times New Roman"/>
          <w:sz w:val="24"/>
          <w:szCs w:val="24"/>
        </w:rPr>
        <w:t xml:space="preserve"> From the </w:t>
      </w:r>
      <w:r w:rsidR="00006DE4">
        <w:rPr>
          <w:rFonts w:ascii="Times New Roman" w:hAnsi="Times New Roman" w:cs="Times New Roman"/>
          <w:sz w:val="24"/>
          <w:szCs w:val="24"/>
        </w:rPr>
        <w:t xml:space="preserve">two case </w:t>
      </w:r>
      <w:r w:rsidR="00684393">
        <w:rPr>
          <w:rFonts w:ascii="Times New Roman" w:hAnsi="Times New Roman" w:cs="Times New Roman"/>
          <w:sz w:val="24"/>
          <w:szCs w:val="24"/>
        </w:rPr>
        <w:t xml:space="preserve">studies reported here, </w:t>
      </w:r>
      <w:r w:rsidR="00E331BF">
        <w:rPr>
          <w:rFonts w:ascii="Times New Roman" w:hAnsi="Times New Roman" w:cs="Times New Roman"/>
          <w:sz w:val="24"/>
          <w:szCs w:val="24"/>
        </w:rPr>
        <w:t xml:space="preserve">fostering </w:t>
      </w:r>
      <w:r w:rsidR="00684393">
        <w:rPr>
          <w:rFonts w:ascii="Times New Roman" w:hAnsi="Times New Roman" w:cs="Times New Roman"/>
          <w:sz w:val="24"/>
          <w:szCs w:val="24"/>
        </w:rPr>
        <w:t xml:space="preserve">trust, co-operation and communication </w:t>
      </w:r>
      <w:r w:rsidR="00E331BF">
        <w:rPr>
          <w:rFonts w:ascii="Times New Roman" w:hAnsi="Times New Roman" w:cs="Times New Roman"/>
          <w:sz w:val="24"/>
          <w:szCs w:val="24"/>
        </w:rPr>
        <w:t xml:space="preserve">between and among authorities and stakeholder groups </w:t>
      </w:r>
      <w:r w:rsidR="00684393">
        <w:rPr>
          <w:rFonts w:ascii="Times New Roman" w:hAnsi="Times New Roman" w:cs="Times New Roman"/>
          <w:sz w:val="24"/>
          <w:szCs w:val="24"/>
        </w:rPr>
        <w:t xml:space="preserve">appear </w:t>
      </w:r>
      <w:r w:rsidR="00E331BF">
        <w:rPr>
          <w:rFonts w:ascii="Times New Roman" w:hAnsi="Times New Roman" w:cs="Times New Roman"/>
          <w:sz w:val="24"/>
          <w:szCs w:val="24"/>
        </w:rPr>
        <w:t xml:space="preserve">as </w:t>
      </w:r>
      <w:r w:rsidR="00684393">
        <w:rPr>
          <w:rFonts w:ascii="Times New Roman" w:hAnsi="Times New Roman" w:cs="Times New Roman"/>
          <w:sz w:val="24"/>
          <w:szCs w:val="24"/>
        </w:rPr>
        <w:t>critical ingredients</w:t>
      </w:r>
      <w:r w:rsidR="00D94218">
        <w:rPr>
          <w:rFonts w:ascii="Times New Roman" w:hAnsi="Times New Roman" w:cs="Times New Roman"/>
          <w:sz w:val="24"/>
          <w:szCs w:val="24"/>
        </w:rPr>
        <w:t>, at all five nodes of interaction (Figure 1)</w:t>
      </w:r>
      <w:r w:rsidR="00E331BF">
        <w:rPr>
          <w:rFonts w:ascii="Times New Roman" w:hAnsi="Times New Roman" w:cs="Times New Roman"/>
          <w:sz w:val="24"/>
          <w:szCs w:val="24"/>
        </w:rPr>
        <w:t xml:space="preserve">. </w:t>
      </w:r>
      <w:r w:rsidR="004F3319" w:rsidRPr="00CF1AD4">
        <w:rPr>
          <w:rFonts w:ascii="Times New Roman" w:hAnsi="Times New Roman" w:cs="Times New Roman"/>
          <w:sz w:val="24"/>
          <w:szCs w:val="24"/>
        </w:rPr>
        <w:t>Investing in</w:t>
      </w:r>
      <w:r w:rsidR="00B67C2A">
        <w:rPr>
          <w:rFonts w:ascii="Times New Roman" w:hAnsi="Times New Roman" w:cs="Times New Roman"/>
          <w:sz w:val="24"/>
          <w:szCs w:val="24"/>
        </w:rPr>
        <w:t xml:space="preserve"> improved</w:t>
      </w:r>
      <w:r w:rsidR="00CC0769">
        <w:rPr>
          <w:rFonts w:ascii="Times New Roman" w:hAnsi="Times New Roman" w:cs="Times New Roman"/>
          <w:sz w:val="24"/>
          <w:szCs w:val="24"/>
        </w:rPr>
        <w:t xml:space="preserve"> communication</w:t>
      </w:r>
      <w:r w:rsidR="006A5759">
        <w:rPr>
          <w:rFonts w:ascii="Times New Roman" w:hAnsi="Times New Roman" w:cs="Times New Roman"/>
          <w:sz w:val="24"/>
          <w:szCs w:val="24"/>
        </w:rPr>
        <w:t>,</w:t>
      </w:r>
      <w:r w:rsidR="004F3319" w:rsidRPr="00CF1AD4">
        <w:rPr>
          <w:rFonts w:ascii="Times New Roman" w:hAnsi="Times New Roman" w:cs="Times New Roman"/>
          <w:i/>
          <w:sz w:val="24"/>
          <w:szCs w:val="24"/>
        </w:rPr>
        <w:t xml:space="preserve"> </w:t>
      </w:r>
      <w:r w:rsidR="0075764D">
        <w:rPr>
          <w:rFonts w:ascii="Times New Roman" w:hAnsi="Times New Roman" w:cs="Times New Roman"/>
          <w:sz w:val="24"/>
          <w:szCs w:val="24"/>
        </w:rPr>
        <w:t>for example</w:t>
      </w:r>
      <w:r w:rsidR="006A5759">
        <w:rPr>
          <w:rFonts w:ascii="Times New Roman" w:hAnsi="Times New Roman" w:cs="Times New Roman"/>
          <w:sz w:val="24"/>
          <w:szCs w:val="24"/>
        </w:rPr>
        <w:t>,</w:t>
      </w:r>
      <w:r w:rsidR="0075764D">
        <w:rPr>
          <w:rFonts w:ascii="Times New Roman" w:hAnsi="Times New Roman" w:cs="Times New Roman"/>
          <w:sz w:val="24"/>
          <w:szCs w:val="24"/>
        </w:rPr>
        <w:t xml:space="preserve"> through more </w:t>
      </w:r>
      <w:r w:rsidR="004F3319" w:rsidRPr="00CF1AD4">
        <w:rPr>
          <w:rFonts w:ascii="Times New Roman" w:hAnsi="Times New Roman" w:cs="Times New Roman"/>
          <w:sz w:val="24"/>
          <w:szCs w:val="24"/>
        </w:rPr>
        <w:t xml:space="preserve">frequent </w:t>
      </w:r>
      <w:r w:rsidR="00DF4063">
        <w:rPr>
          <w:rFonts w:ascii="Times New Roman" w:hAnsi="Times New Roman" w:cs="Times New Roman"/>
          <w:sz w:val="24"/>
          <w:szCs w:val="24"/>
        </w:rPr>
        <w:t>meeting</w:t>
      </w:r>
      <w:r w:rsidR="005F2F83" w:rsidRPr="00CF1AD4">
        <w:rPr>
          <w:rFonts w:ascii="Times New Roman" w:hAnsi="Times New Roman" w:cs="Times New Roman"/>
          <w:sz w:val="24"/>
          <w:szCs w:val="24"/>
        </w:rPr>
        <w:t>s</w:t>
      </w:r>
      <w:r w:rsidR="00DF4063">
        <w:rPr>
          <w:rFonts w:ascii="Times New Roman" w:hAnsi="Times New Roman" w:cs="Times New Roman"/>
          <w:sz w:val="24"/>
          <w:szCs w:val="24"/>
        </w:rPr>
        <w:t xml:space="preserve"> and exchanges</w:t>
      </w:r>
      <w:r w:rsidR="005F2F83" w:rsidRPr="00CF1AD4">
        <w:rPr>
          <w:rFonts w:ascii="Times New Roman" w:hAnsi="Times New Roman" w:cs="Times New Roman"/>
          <w:sz w:val="24"/>
          <w:szCs w:val="24"/>
        </w:rPr>
        <w:t xml:space="preserve"> between </w:t>
      </w:r>
      <w:r>
        <w:rPr>
          <w:rFonts w:ascii="Times New Roman" w:hAnsi="Times New Roman" w:cs="Times New Roman"/>
          <w:sz w:val="24"/>
          <w:szCs w:val="24"/>
        </w:rPr>
        <w:t>authorities</w:t>
      </w:r>
      <w:r w:rsidR="00B67C2A">
        <w:rPr>
          <w:rFonts w:ascii="Times New Roman" w:hAnsi="Times New Roman" w:cs="Times New Roman"/>
          <w:sz w:val="24"/>
          <w:szCs w:val="24"/>
        </w:rPr>
        <w:t xml:space="preserve"> and stakeholders </w:t>
      </w:r>
      <w:r w:rsidR="005F2F83" w:rsidRPr="00CF1AD4">
        <w:rPr>
          <w:rFonts w:ascii="Times New Roman" w:hAnsi="Times New Roman" w:cs="Times New Roman"/>
          <w:sz w:val="24"/>
          <w:szCs w:val="24"/>
        </w:rPr>
        <w:t xml:space="preserve">(e.g. farmers </w:t>
      </w:r>
      <w:r w:rsidR="00DF4063">
        <w:rPr>
          <w:rFonts w:ascii="Times New Roman" w:hAnsi="Times New Roman" w:cs="Times New Roman"/>
          <w:sz w:val="24"/>
          <w:szCs w:val="24"/>
        </w:rPr>
        <w:t>being brought together to exchange views and experiences</w:t>
      </w:r>
      <w:r w:rsidR="00B67C2A">
        <w:rPr>
          <w:rFonts w:ascii="Times New Roman" w:hAnsi="Times New Roman" w:cs="Times New Roman"/>
          <w:sz w:val="24"/>
          <w:szCs w:val="24"/>
        </w:rPr>
        <w:t>, officials exchanging experience with</w:t>
      </w:r>
      <w:r w:rsidR="00DF4063">
        <w:rPr>
          <w:rFonts w:ascii="Times New Roman" w:hAnsi="Times New Roman" w:cs="Times New Roman"/>
          <w:sz w:val="24"/>
          <w:szCs w:val="24"/>
        </w:rPr>
        <w:t xml:space="preserve"> other government departments and with beneficiary groups</w:t>
      </w:r>
      <w:r w:rsidR="005F2F83" w:rsidRPr="00CF1AD4">
        <w:rPr>
          <w:rFonts w:ascii="Times New Roman" w:hAnsi="Times New Roman" w:cs="Times New Roman"/>
          <w:sz w:val="24"/>
          <w:szCs w:val="24"/>
        </w:rPr>
        <w:t>)</w:t>
      </w:r>
      <w:r w:rsidR="006A5759">
        <w:rPr>
          <w:rFonts w:ascii="Times New Roman" w:hAnsi="Times New Roman" w:cs="Times New Roman"/>
          <w:sz w:val="24"/>
          <w:szCs w:val="24"/>
        </w:rPr>
        <w:t>,</w:t>
      </w:r>
      <w:r w:rsidR="004F3319" w:rsidRPr="00CF1AD4">
        <w:rPr>
          <w:rFonts w:ascii="Times New Roman" w:hAnsi="Times New Roman" w:cs="Times New Roman"/>
          <w:sz w:val="24"/>
          <w:szCs w:val="24"/>
        </w:rPr>
        <w:t xml:space="preserve"> encourage</w:t>
      </w:r>
      <w:r w:rsidR="0075764D">
        <w:rPr>
          <w:rFonts w:ascii="Times New Roman" w:hAnsi="Times New Roman" w:cs="Times New Roman"/>
          <w:sz w:val="24"/>
          <w:szCs w:val="24"/>
        </w:rPr>
        <w:t>s</w:t>
      </w:r>
      <w:r w:rsidR="004F3319" w:rsidRPr="00CF1AD4">
        <w:rPr>
          <w:rFonts w:ascii="Times New Roman" w:hAnsi="Times New Roman" w:cs="Times New Roman"/>
          <w:sz w:val="24"/>
          <w:szCs w:val="24"/>
        </w:rPr>
        <w:t xml:space="preserve"> more </w:t>
      </w:r>
      <w:r w:rsidR="005F2F83" w:rsidRPr="00CF1AD4">
        <w:rPr>
          <w:rFonts w:ascii="Times New Roman" w:hAnsi="Times New Roman" w:cs="Times New Roman"/>
          <w:sz w:val="24"/>
          <w:szCs w:val="24"/>
        </w:rPr>
        <w:t xml:space="preserve">awareness of </w:t>
      </w:r>
      <w:r w:rsidR="00B67C2A">
        <w:rPr>
          <w:rFonts w:ascii="Times New Roman" w:hAnsi="Times New Roman" w:cs="Times New Roman"/>
          <w:sz w:val="24"/>
          <w:szCs w:val="24"/>
        </w:rPr>
        <w:t>RDP goals and opportunities</w:t>
      </w:r>
      <w:r w:rsidR="004F3319" w:rsidRPr="00CF1AD4">
        <w:rPr>
          <w:rFonts w:ascii="Times New Roman" w:hAnsi="Times New Roman" w:cs="Times New Roman"/>
          <w:sz w:val="24"/>
          <w:szCs w:val="24"/>
        </w:rPr>
        <w:t>, grea</w:t>
      </w:r>
      <w:r w:rsidR="006F4049">
        <w:rPr>
          <w:rFonts w:ascii="Times New Roman" w:hAnsi="Times New Roman" w:cs="Times New Roman"/>
          <w:sz w:val="24"/>
          <w:szCs w:val="24"/>
        </w:rPr>
        <w:t>ter policy learning</w:t>
      </w:r>
      <w:r w:rsidR="0075764D">
        <w:rPr>
          <w:rFonts w:ascii="Times New Roman" w:hAnsi="Times New Roman" w:cs="Times New Roman"/>
          <w:sz w:val="24"/>
          <w:szCs w:val="24"/>
        </w:rPr>
        <w:t>,</w:t>
      </w:r>
      <w:r w:rsidR="006F4049">
        <w:rPr>
          <w:rFonts w:ascii="Times New Roman" w:hAnsi="Times New Roman" w:cs="Times New Roman"/>
          <w:sz w:val="24"/>
          <w:szCs w:val="24"/>
        </w:rPr>
        <w:t xml:space="preserve"> and </w:t>
      </w:r>
      <w:r>
        <w:rPr>
          <w:rFonts w:ascii="Times New Roman" w:hAnsi="Times New Roman" w:cs="Times New Roman"/>
          <w:sz w:val="24"/>
          <w:szCs w:val="24"/>
        </w:rPr>
        <w:t xml:space="preserve">thus </w:t>
      </w:r>
      <w:r w:rsidR="006A5759">
        <w:rPr>
          <w:rFonts w:ascii="Times New Roman" w:hAnsi="Times New Roman" w:cs="Times New Roman"/>
          <w:sz w:val="24"/>
          <w:szCs w:val="24"/>
        </w:rPr>
        <w:t>p</w:t>
      </w:r>
      <w:r w:rsidR="00932A1C" w:rsidRPr="00CF1AD4">
        <w:rPr>
          <w:rFonts w:ascii="Times New Roman" w:hAnsi="Times New Roman" w:cs="Times New Roman"/>
          <w:sz w:val="24"/>
          <w:szCs w:val="24"/>
        </w:rPr>
        <w:t>otential for faster</w:t>
      </w:r>
      <w:r w:rsidR="004F3319" w:rsidRPr="00CF1AD4">
        <w:rPr>
          <w:rFonts w:ascii="Times New Roman" w:hAnsi="Times New Roman" w:cs="Times New Roman"/>
          <w:sz w:val="24"/>
          <w:szCs w:val="24"/>
        </w:rPr>
        <w:t xml:space="preserve"> and more effective</w:t>
      </w:r>
      <w:r w:rsidR="00932A1C" w:rsidRPr="00CF1AD4">
        <w:rPr>
          <w:rFonts w:ascii="Times New Roman" w:hAnsi="Times New Roman" w:cs="Times New Roman"/>
          <w:sz w:val="24"/>
          <w:szCs w:val="24"/>
        </w:rPr>
        <w:t xml:space="preserve"> decision</w:t>
      </w:r>
      <w:r w:rsidR="00033B7A">
        <w:rPr>
          <w:rFonts w:ascii="Times New Roman" w:hAnsi="Times New Roman" w:cs="Times New Roman"/>
          <w:sz w:val="24"/>
          <w:szCs w:val="24"/>
        </w:rPr>
        <w:t>-</w:t>
      </w:r>
      <w:r w:rsidR="00932A1C" w:rsidRPr="00CF1AD4">
        <w:rPr>
          <w:rFonts w:ascii="Times New Roman" w:hAnsi="Times New Roman" w:cs="Times New Roman"/>
          <w:sz w:val="24"/>
          <w:szCs w:val="24"/>
        </w:rPr>
        <w:t>making</w:t>
      </w:r>
      <w:r w:rsidR="004F3319" w:rsidRPr="00CF1AD4">
        <w:rPr>
          <w:rFonts w:ascii="Times New Roman" w:hAnsi="Times New Roman" w:cs="Times New Roman"/>
          <w:sz w:val="24"/>
          <w:szCs w:val="24"/>
        </w:rPr>
        <w:t>.</w:t>
      </w:r>
      <w:r w:rsidR="00D624AD">
        <w:rPr>
          <w:rFonts w:ascii="Times New Roman" w:hAnsi="Times New Roman" w:cs="Times New Roman"/>
          <w:sz w:val="24"/>
          <w:szCs w:val="24"/>
        </w:rPr>
        <w:t xml:space="preserve">  </w:t>
      </w:r>
      <w:r w:rsidR="006A5759">
        <w:rPr>
          <w:rFonts w:ascii="Times New Roman" w:hAnsi="Times New Roman" w:cs="Times New Roman"/>
          <w:sz w:val="24"/>
          <w:szCs w:val="24"/>
        </w:rPr>
        <w:t>Finally, when these factors are c</w:t>
      </w:r>
      <w:r w:rsidR="0075764D">
        <w:rPr>
          <w:rFonts w:ascii="Times New Roman" w:hAnsi="Times New Roman" w:cs="Times New Roman"/>
          <w:sz w:val="24"/>
          <w:szCs w:val="24"/>
        </w:rPr>
        <w:t>ombin</w:t>
      </w:r>
      <w:r w:rsidR="006A5759">
        <w:rPr>
          <w:rFonts w:ascii="Times New Roman" w:hAnsi="Times New Roman" w:cs="Times New Roman"/>
          <w:sz w:val="24"/>
          <w:szCs w:val="24"/>
        </w:rPr>
        <w:t>ed,</w:t>
      </w:r>
      <w:r w:rsidR="0075764D">
        <w:rPr>
          <w:rFonts w:ascii="Times New Roman" w:hAnsi="Times New Roman" w:cs="Times New Roman"/>
          <w:sz w:val="24"/>
          <w:szCs w:val="24"/>
        </w:rPr>
        <w:t xml:space="preserve"> </w:t>
      </w:r>
      <w:r w:rsidR="006A5759">
        <w:rPr>
          <w:rFonts w:ascii="Times New Roman" w:hAnsi="Times New Roman" w:cs="Times New Roman"/>
          <w:sz w:val="24"/>
          <w:szCs w:val="24"/>
        </w:rPr>
        <w:t xml:space="preserve">greater </w:t>
      </w:r>
      <w:r w:rsidR="006A5759" w:rsidRPr="006A5759">
        <w:rPr>
          <w:rFonts w:ascii="Times New Roman" w:hAnsi="Times New Roman" w:cs="Times New Roman"/>
          <w:sz w:val="24"/>
          <w:szCs w:val="24"/>
        </w:rPr>
        <w:t>trust</w:t>
      </w:r>
      <w:r w:rsidR="006A5759">
        <w:rPr>
          <w:rFonts w:ascii="Times New Roman" w:hAnsi="Times New Roman" w:cs="Times New Roman"/>
          <w:sz w:val="24"/>
          <w:szCs w:val="24"/>
        </w:rPr>
        <w:t xml:space="preserve"> is fostered</w:t>
      </w:r>
      <w:r w:rsidR="00B67C2A">
        <w:rPr>
          <w:rFonts w:ascii="Times New Roman" w:hAnsi="Times New Roman" w:cs="Times New Roman"/>
          <w:i/>
          <w:sz w:val="24"/>
          <w:szCs w:val="24"/>
        </w:rPr>
        <w:t xml:space="preserve"> </w:t>
      </w:r>
      <w:r w:rsidR="00171FE3" w:rsidRPr="00171FE3">
        <w:rPr>
          <w:rFonts w:ascii="Times New Roman" w:hAnsi="Times New Roman" w:cs="Times New Roman"/>
          <w:sz w:val="24"/>
          <w:szCs w:val="24"/>
        </w:rPr>
        <w:t>between authorities and beneficiary groups</w:t>
      </w:r>
      <w:r w:rsidR="0075764D">
        <w:rPr>
          <w:rFonts w:ascii="Times New Roman" w:hAnsi="Times New Roman" w:cs="Times New Roman"/>
          <w:i/>
          <w:sz w:val="24"/>
          <w:szCs w:val="24"/>
        </w:rPr>
        <w:t>,</w:t>
      </w:r>
      <w:r w:rsidR="004F3319" w:rsidRPr="00CF1AD4">
        <w:rPr>
          <w:rFonts w:ascii="Times New Roman" w:hAnsi="Times New Roman" w:cs="Times New Roman"/>
          <w:i/>
          <w:sz w:val="24"/>
          <w:szCs w:val="24"/>
        </w:rPr>
        <w:t xml:space="preserve"> </w:t>
      </w:r>
      <w:r w:rsidR="0075764D">
        <w:rPr>
          <w:rFonts w:ascii="Times New Roman" w:hAnsi="Times New Roman" w:cs="Times New Roman"/>
          <w:sz w:val="24"/>
          <w:szCs w:val="24"/>
        </w:rPr>
        <w:t xml:space="preserve">which </w:t>
      </w:r>
      <w:r w:rsidR="004F3319" w:rsidRPr="00CF1AD4">
        <w:rPr>
          <w:rFonts w:ascii="Times New Roman" w:hAnsi="Times New Roman" w:cs="Times New Roman"/>
          <w:sz w:val="24"/>
          <w:szCs w:val="24"/>
        </w:rPr>
        <w:t>increase</w:t>
      </w:r>
      <w:r w:rsidR="00006DE4">
        <w:rPr>
          <w:rFonts w:ascii="Times New Roman" w:hAnsi="Times New Roman" w:cs="Times New Roman"/>
          <w:sz w:val="24"/>
          <w:szCs w:val="24"/>
        </w:rPr>
        <w:t>s</w:t>
      </w:r>
      <w:r w:rsidR="004F3319" w:rsidRPr="00CF1AD4">
        <w:rPr>
          <w:rFonts w:ascii="Times New Roman" w:hAnsi="Times New Roman" w:cs="Times New Roman"/>
          <w:sz w:val="24"/>
          <w:szCs w:val="24"/>
        </w:rPr>
        <w:t xml:space="preserve"> the l</w:t>
      </w:r>
      <w:r w:rsidR="005F2F83" w:rsidRPr="00CF1AD4">
        <w:rPr>
          <w:rFonts w:ascii="Times New Roman" w:hAnsi="Times New Roman" w:cs="Times New Roman"/>
          <w:sz w:val="24"/>
          <w:szCs w:val="24"/>
        </w:rPr>
        <w:t xml:space="preserve">ikelihood of </w:t>
      </w:r>
      <w:r w:rsidR="00B67C2A">
        <w:rPr>
          <w:rFonts w:ascii="Times New Roman" w:hAnsi="Times New Roman" w:cs="Times New Roman"/>
          <w:sz w:val="24"/>
          <w:szCs w:val="24"/>
        </w:rPr>
        <w:t xml:space="preserve">beneficiary </w:t>
      </w:r>
      <w:r w:rsidR="005F2F83" w:rsidRPr="00CF1AD4">
        <w:rPr>
          <w:rFonts w:ascii="Times New Roman" w:hAnsi="Times New Roman" w:cs="Times New Roman"/>
          <w:sz w:val="24"/>
          <w:szCs w:val="24"/>
        </w:rPr>
        <w:t>compliance</w:t>
      </w:r>
      <w:r w:rsidR="004F3319" w:rsidRPr="00CF1AD4">
        <w:rPr>
          <w:rFonts w:ascii="Times New Roman" w:hAnsi="Times New Roman" w:cs="Times New Roman"/>
          <w:sz w:val="24"/>
          <w:szCs w:val="24"/>
        </w:rPr>
        <w:t xml:space="preserve"> with funding conditions, potentially reducing </w:t>
      </w:r>
      <w:r w:rsidR="00B67C2A">
        <w:rPr>
          <w:rFonts w:ascii="Times New Roman" w:hAnsi="Times New Roman" w:cs="Times New Roman"/>
          <w:sz w:val="24"/>
          <w:szCs w:val="24"/>
        </w:rPr>
        <w:t xml:space="preserve">the </w:t>
      </w:r>
      <w:r w:rsidR="004F3319" w:rsidRPr="00CF1AD4">
        <w:rPr>
          <w:rFonts w:ascii="Times New Roman" w:hAnsi="Times New Roman" w:cs="Times New Roman"/>
          <w:sz w:val="24"/>
          <w:szCs w:val="24"/>
        </w:rPr>
        <w:t>costs of monitoring and enforcement.</w:t>
      </w:r>
      <w:r w:rsidR="00DF4063">
        <w:rPr>
          <w:rFonts w:ascii="Times New Roman" w:hAnsi="Times New Roman" w:cs="Times New Roman"/>
          <w:sz w:val="24"/>
          <w:szCs w:val="24"/>
        </w:rPr>
        <w:t xml:space="preserve">  </w:t>
      </w:r>
    </w:p>
    <w:p w:rsidR="00CA3F21" w:rsidRDefault="00CA3F21" w:rsidP="00DF4063">
      <w:pPr>
        <w:spacing w:after="0" w:line="360" w:lineRule="auto"/>
        <w:jc w:val="both"/>
        <w:rPr>
          <w:rFonts w:ascii="Times New Roman" w:hAnsi="Times New Roman" w:cs="Times New Roman"/>
          <w:sz w:val="24"/>
          <w:szCs w:val="24"/>
        </w:rPr>
      </w:pPr>
    </w:p>
    <w:p w:rsidR="00484DCD" w:rsidRPr="00CB0B3B" w:rsidRDefault="00EE518E" w:rsidP="00DF40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Nevertheless</w:t>
      </w:r>
      <w:r w:rsidR="00CB0AC8">
        <w:rPr>
          <w:rFonts w:ascii="Times New Roman" w:hAnsi="Times New Roman" w:cs="Times New Roman"/>
          <w:sz w:val="24"/>
          <w:szCs w:val="24"/>
        </w:rPr>
        <w:t xml:space="preserve">, </w:t>
      </w:r>
      <w:r>
        <w:rPr>
          <w:rFonts w:ascii="Times New Roman" w:hAnsi="Times New Roman" w:cs="Times New Roman"/>
          <w:sz w:val="24"/>
          <w:szCs w:val="24"/>
        </w:rPr>
        <w:t xml:space="preserve">better collective </w:t>
      </w:r>
      <w:r w:rsidR="00CB0AC8">
        <w:rPr>
          <w:rFonts w:ascii="Times New Roman" w:hAnsi="Times New Roman" w:cs="Times New Roman"/>
          <w:sz w:val="24"/>
          <w:szCs w:val="24"/>
        </w:rPr>
        <w:t xml:space="preserve">understanding does not always </w:t>
      </w:r>
      <w:r w:rsidR="00D94218">
        <w:rPr>
          <w:rFonts w:ascii="Times New Roman" w:hAnsi="Times New Roman" w:cs="Times New Roman"/>
          <w:sz w:val="24"/>
          <w:szCs w:val="24"/>
        </w:rPr>
        <w:t>generate</w:t>
      </w:r>
      <w:r w:rsidR="00CB0AC8">
        <w:rPr>
          <w:rFonts w:ascii="Times New Roman" w:hAnsi="Times New Roman" w:cs="Times New Roman"/>
          <w:sz w:val="24"/>
          <w:szCs w:val="24"/>
        </w:rPr>
        <w:t xml:space="preserve"> </w:t>
      </w:r>
      <w:r w:rsidR="00E55858">
        <w:rPr>
          <w:rFonts w:ascii="Times New Roman" w:hAnsi="Times New Roman" w:cs="Times New Roman"/>
          <w:sz w:val="24"/>
          <w:szCs w:val="24"/>
        </w:rPr>
        <w:t>improve</w:t>
      </w:r>
      <w:r w:rsidR="00CB0AC8">
        <w:rPr>
          <w:rFonts w:ascii="Times New Roman" w:hAnsi="Times New Roman" w:cs="Times New Roman"/>
          <w:sz w:val="24"/>
          <w:szCs w:val="24"/>
        </w:rPr>
        <w:t>ment because RDP</w:t>
      </w:r>
      <w:r w:rsidR="00337C46">
        <w:rPr>
          <w:rFonts w:ascii="Times New Roman" w:hAnsi="Times New Roman" w:cs="Times New Roman"/>
          <w:sz w:val="24"/>
          <w:szCs w:val="24"/>
        </w:rPr>
        <w:t>s are subject to a wider range of socio-political pressures</w:t>
      </w:r>
      <w:r w:rsidR="00DF4063">
        <w:rPr>
          <w:rFonts w:ascii="Times New Roman" w:hAnsi="Times New Roman" w:cs="Times New Roman"/>
          <w:sz w:val="24"/>
          <w:szCs w:val="24"/>
        </w:rPr>
        <w:t xml:space="preserve"> and priorities</w:t>
      </w:r>
      <w:r w:rsidR="00E55858">
        <w:rPr>
          <w:rFonts w:ascii="Times New Roman" w:hAnsi="Times New Roman" w:cs="Times New Roman"/>
          <w:sz w:val="24"/>
          <w:szCs w:val="24"/>
        </w:rPr>
        <w:t>.  In England</w:t>
      </w:r>
      <w:r w:rsidR="00CB0AC8">
        <w:rPr>
          <w:rFonts w:ascii="Times New Roman" w:hAnsi="Times New Roman" w:cs="Times New Roman"/>
          <w:sz w:val="24"/>
          <w:szCs w:val="24"/>
        </w:rPr>
        <w:t>,</w:t>
      </w:r>
      <w:r w:rsidR="0095220D">
        <w:rPr>
          <w:rFonts w:ascii="Times New Roman" w:hAnsi="Times New Roman" w:cs="Times New Roman"/>
          <w:sz w:val="24"/>
          <w:szCs w:val="24"/>
        </w:rPr>
        <w:t xml:space="preserve"> for example,</w:t>
      </w:r>
      <w:r w:rsidR="00E55858">
        <w:rPr>
          <w:rFonts w:ascii="Times New Roman" w:hAnsi="Times New Roman" w:cs="Times New Roman"/>
          <w:sz w:val="24"/>
          <w:szCs w:val="24"/>
        </w:rPr>
        <w:t xml:space="preserve"> the centralisation of programme delivery</w:t>
      </w:r>
      <w:r w:rsidR="00337C46">
        <w:rPr>
          <w:rFonts w:ascii="Times New Roman" w:hAnsi="Times New Roman" w:cs="Times New Roman"/>
          <w:sz w:val="24"/>
          <w:szCs w:val="24"/>
        </w:rPr>
        <w:t>, with its negative impact upon RDP performance,</w:t>
      </w:r>
      <w:r w:rsidR="00E55858">
        <w:rPr>
          <w:rFonts w:ascii="Times New Roman" w:hAnsi="Times New Roman" w:cs="Times New Roman"/>
          <w:sz w:val="24"/>
          <w:szCs w:val="24"/>
        </w:rPr>
        <w:t xml:space="preserve"> </w:t>
      </w:r>
      <w:r w:rsidR="00337C46">
        <w:rPr>
          <w:rFonts w:ascii="Times New Roman" w:hAnsi="Times New Roman" w:cs="Times New Roman"/>
          <w:sz w:val="24"/>
          <w:szCs w:val="24"/>
        </w:rPr>
        <w:t>occurred as part of a wider political agenda to reduce the presence</w:t>
      </w:r>
      <w:r>
        <w:rPr>
          <w:rFonts w:ascii="Times New Roman" w:hAnsi="Times New Roman" w:cs="Times New Roman"/>
          <w:sz w:val="24"/>
          <w:szCs w:val="24"/>
        </w:rPr>
        <w:t xml:space="preserve"> and perceived costs</w:t>
      </w:r>
      <w:r w:rsidR="00337C46">
        <w:rPr>
          <w:rFonts w:ascii="Times New Roman" w:hAnsi="Times New Roman" w:cs="Times New Roman"/>
          <w:sz w:val="24"/>
          <w:szCs w:val="24"/>
        </w:rPr>
        <w:t xml:space="preserve"> of regional governance</w:t>
      </w:r>
      <w:r w:rsidR="00006DE4">
        <w:rPr>
          <w:rFonts w:ascii="Times New Roman" w:hAnsi="Times New Roman" w:cs="Times New Roman"/>
          <w:sz w:val="24"/>
          <w:szCs w:val="24"/>
        </w:rPr>
        <w:t xml:space="preserve">. </w:t>
      </w:r>
      <w:r w:rsidR="00E55858">
        <w:rPr>
          <w:rFonts w:ascii="Times New Roman" w:hAnsi="Times New Roman" w:cs="Times New Roman"/>
          <w:sz w:val="24"/>
          <w:szCs w:val="24"/>
        </w:rPr>
        <w:t xml:space="preserve">In Malta, </w:t>
      </w:r>
      <w:r w:rsidR="00337C46">
        <w:rPr>
          <w:rFonts w:ascii="Times New Roman" w:hAnsi="Times New Roman" w:cs="Times New Roman"/>
          <w:sz w:val="24"/>
          <w:szCs w:val="24"/>
        </w:rPr>
        <w:t>many of the lessons of the RDP development process remain</w:t>
      </w:r>
      <w:r w:rsidR="00D94218">
        <w:rPr>
          <w:rFonts w:ascii="Times New Roman" w:hAnsi="Times New Roman" w:cs="Times New Roman"/>
          <w:sz w:val="24"/>
          <w:szCs w:val="24"/>
        </w:rPr>
        <w:t xml:space="preserve"> to be implemented</w:t>
      </w:r>
      <w:r w:rsidR="00BA736D">
        <w:rPr>
          <w:rFonts w:ascii="Times New Roman" w:hAnsi="Times New Roman" w:cs="Times New Roman"/>
          <w:sz w:val="24"/>
          <w:szCs w:val="24"/>
        </w:rPr>
        <w:t>. We identify multiple pressures at the present time for authorities across the EU to prioritise short-term administrative efficiency over capacity-building</w:t>
      </w:r>
      <w:r w:rsidR="008C49AA">
        <w:rPr>
          <w:rFonts w:ascii="Times New Roman" w:hAnsi="Times New Roman" w:cs="Times New Roman"/>
          <w:sz w:val="24"/>
          <w:szCs w:val="24"/>
        </w:rPr>
        <w:t xml:space="preserve"> as a combined result of economic austerity and fear of audit control and disallowance</w:t>
      </w:r>
      <w:r w:rsidR="00BA736D">
        <w:rPr>
          <w:rFonts w:ascii="Times New Roman" w:hAnsi="Times New Roman" w:cs="Times New Roman"/>
          <w:sz w:val="24"/>
          <w:szCs w:val="24"/>
        </w:rPr>
        <w:t>. The challenge is therefore to maintain</w:t>
      </w:r>
      <w:r w:rsidR="006D6A4D">
        <w:rPr>
          <w:rFonts w:ascii="Times New Roman" w:hAnsi="Times New Roman" w:cs="Times New Roman"/>
          <w:sz w:val="24"/>
          <w:szCs w:val="24"/>
        </w:rPr>
        <w:t xml:space="preserve"> an agenda of continuous improvement in programme design and delivery</w:t>
      </w:r>
      <w:r w:rsidR="008C49AA">
        <w:rPr>
          <w:rFonts w:ascii="Times New Roman" w:hAnsi="Times New Roman" w:cs="Times New Roman"/>
          <w:sz w:val="24"/>
          <w:szCs w:val="24"/>
        </w:rPr>
        <w:t xml:space="preserve"> for the longer term</w:t>
      </w:r>
      <w:r w:rsidR="006D6A4D">
        <w:rPr>
          <w:rFonts w:ascii="Times New Roman" w:hAnsi="Times New Roman" w:cs="Times New Roman"/>
          <w:sz w:val="24"/>
          <w:szCs w:val="24"/>
        </w:rPr>
        <w:t xml:space="preserve">, </w:t>
      </w:r>
      <w:r w:rsidR="00BA736D">
        <w:rPr>
          <w:rFonts w:ascii="Times New Roman" w:hAnsi="Times New Roman" w:cs="Times New Roman"/>
          <w:sz w:val="24"/>
          <w:szCs w:val="24"/>
        </w:rPr>
        <w:t xml:space="preserve">in the </w:t>
      </w:r>
      <w:r w:rsidR="008C49AA">
        <w:rPr>
          <w:rFonts w:ascii="Times New Roman" w:hAnsi="Times New Roman" w:cs="Times New Roman"/>
          <w:sz w:val="24"/>
          <w:szCs w:val="24"/>
        </w:rPr>
        <w:t>pursuit of su</w:t>
      </w:r>
      <w:r w:rsidR="00BA736D">
        <w:rPr>
          <w:rFonts w:ascii="Times New Roman" w:hAnsi="Times New Roman" w:cs="Times New Roman"/>
          <w:sz w:val="24"/>
          <w:szCs w:val="24"/>
        </w:rPr>
        <w:t>stainable rural development.</w:t>
      </w:r>
      <w:r w:rsidR="006D6A4D">
        <w:rPr>
          <w:rFonts w:ascii="Times New Roman" w:hAnsi="Times New Roman" w:cs="Times New Roman"/>
          <w:sz w:val="24"/>
          <w:szCs w:val="24"/>
        </w:rPr>
        <w:t xml:space="preserve"> </w:t>
      </w:r>
      <w:r w:rsidR="00BA736D">
        <w:rPr>
          <w:rFonts w:ascii="Times New Roman" w:hAnsi="Times New Roman" w:cs="Times New Roman"/>
          <w:sz w:val="24"/>
          <w:szCs w:val="24"/>
        </w:rPr>
        <w:t xml:space="preserve"> </w:t>
      </w:r>
      <w:r w:rsidR="0031393E">
        <w:rPr>
          <w:rFonts w:ascii="Times New Roman" w:hAnsi="Times New Roman" w:cs="Times New Roman"/>
          <w:sz w:val="24"/>
          <w:szCs w:val="24"/>
        </w:rPr>
        <w:t xml:space="preserve">   </w:t>
      </w:r>
      <w:r w:rsidR="002D3DCF" w:rsidRPr="00CB0B3B">
        <w:rPr>
          <w:rFonts w:ascii="Times New Roman" w:hAnsi="Times New Roman" w:cs="Times New Roman"/>
          <w:sz w:val="24"/>
          <w:szCs w:val="24"/>
        </w:rPr>
        <w:tab/>
      </w:r>
    </w:p>
    <w:p w:rsidR="007D6618" w:rsidRDefault="007D6618" w:rsidP="008D745F">
      <w:pPr>
        <w:spacing w:line="360" w:lineRule="auto"/>
        <w:rPr>
          <w:rFonts w:ascii="Times New Roman" w:hAnsi="Times New Roman" w:cs="Times New Roman"/>
          <w:b/>
          <w:sz w:val="24"/>
          <w:szCs w:val="24"/>
        </w:rPr>
      </w:pPr>
    </w:p>
    <w:p w:rsidR="007350B5" w:rsidRPr="00CB0B3B" w:rsidRDefault="007350B5" w:rsidP="008D745F">
      <w:pPr>
        <w:spacing w:line="360" w:lineRule="auto"/>
        <w:rPr>
          <w:rFonts w:ascii="Times New Roman" w:hAnsi="Times New Roman" w:cs="Times New Roman"/>
          <w:b/>
          <w:sz w:val="24"/>
          <w:szCs w:val="24"/>
        </w:rPr>
      </w:pPr>
      <w:r w:rsidRPr="00CB0B3B">
        <w:rPr>
          <w:rFonts w:ascii="Times New Roman" w:hAnsi="Times New Roman" w:cs="Times New Roman"/>
          <w:b/>
          <w:sz w:val="24"/>
          <w:szCs w:val="24"/>
        </w:rPr>
        <w:t>References</w:t>
      </w:r>
    </w:p>
    <w:p w:rsidR="007350B5" w:rsidRPr="00CB0B3B" w:rsidRDefault="002A2DF6"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Beckmann, V., Eggers, J., and Mettepenningen, E.  </w:t>
      </w:r>
      <w:r w:rsidR="0004049A">
        <w:rPr>
          <w:rFonts w:ascii="Times New Roman" w:hAnsi="Times New Roman" w:cs="Times New Roman"/>
          <w:sz w:val="24"/>
          <w:szCs w:val="24"/>
        </w:rPr>
        <w:t>‘</w:t>
      </w:r>
      <w:r w:rsidRPr="00CB0B3B">
        <w:rPr>
          <w:rFonts w:ascii="Times New Roman" w:hAnsi="Times New Roman" w:cs="Times New Roman"/>
          <w:sz w:val="24"/>
          <w:szCs w:val="24"/>
        </w:rPr>
        <w:t>Deciding how to decide on agri-environment schemes: the political economy of subsidiarity, decentralization and participation in the European Union</w:t>
      </w:r>
      <w:r w:rsidR="0004049A">
        <w:rPr>
          <w:rFonts w:ascii="Times New Roman" w:hAnsi="Times New Roman" w:cs="Times New Roman"/>
          <w:sz w:val="24"/>
          <w:szCs w:val="24"/>
        </w:rPr>
        <w:t>’.</w:t>
      </w:r>
      <w:r w:rsidRPr="00CB0B3B">
        <w:rPr>
          <w:rFonts w:ascii="Times New Roman" w:hAnsi="Times New Roman" w:cs="Times New Roman"/>
          <w:sz w:val="24"/>
          <w:szCs w:val="24"/>
        </w:rPr>
        <w:t xml:space="preserve">  </w:t>
      </w:r>
      <w:r w:rsidR="001B6DE9" w:rsidRPr="00CB0B3B">
        <w:rPr>
          <w:rFonts w:ascii="Times New Roman" w:hAnsi="Times New Roman" w:cs="Times New Roman"/>
          <w:i/>
          <w:sz w:val="24"/>
          <w:szCs w:val="24"/>
        </w:rPr>
        <w:t>Journal of Environmental Planning and Management</w:t>
      </w:r>
      <w:r w:rsidRPr="00CB0B3B">
        <w:rPr>
          <w:rFonts w:ascii="Times New Roman" w:hAnsi="Times New Roman" w:cs="Times New Roman"/>
          <w:sz w:val="24"/>
          <w:szCs w:val="24"/>
        </w:rPr>
        <w:t>, Vol. 5, (2009), pp.689-716.</w:t>
      </w:r>
    </w:p>
    <w:p w:rsidR="002A2DF6" w:rsidRPr="00CB0B3B" w:rsidRDefault="002A2DF6"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Blomqvist, K., Kylaheiko, K., and Virolainen</w:t>
      </w:r>
      <w:r w:rsidR="00DE19B8" w:rsidRPr="00CB0B3B">
        <w:rPr>
          <w:rFonts w:ascii="Times New Roman" w:hAnsi="Times New Roman" w:cs="Times New Roman"/>
          <w:sz w:val="24"/>
          <w:szCs w:val="24"/>
        </w:rPr>
        <w:t>, V.M</w:t>
      </w:r>
      <w:r w:rsidRPr="00CB0B3B">
        <w:rPr>
          <w:rFonts w:ascii="Times New Roman" w:hAnsi="Times New Roman" w:cs="Times New Roman"/>
          <w:sz w:val="24"/>
          <w:szCs w:val="24"/>
        </w:rPr>
        <w:t xml:space="preserve">. </w:t>
      </w:r>
      <w:r w:rsidR="00DE19B8" w:rsidRPr="00CB0B3B">
        <w:rPr>
          <w:rFonts w:ascii="Times New Roman" w:hAnsi="Times New Roman" w:cs="Times New Roman"/>
          <w:sz w:val="24"/>
          <w:szCs w:val="24"/>
        </w:rPr>
        <w:t>‘</w:t>
      </w:r>
      <w:r w:rsidRPr="00CB0B3B">
        <w:rPr>
          <w:rFonts w:ascii="Times New Roman" w:hAnsi="Times New Roman" w:cs="Times New Roman"/>
          <w:sz w:val="24"/>
          <w:szCs w:val="24"/>
        </w:rPr>
        <w:t>Filling a gap in traditional transaction costs economics: towards transaction benefits-based analysis</w:t>
      </w:r>
      <w:r w:rsidR="0004049A">
        <w:rPr>
          <w:rFonts w:ascii="Times New Roman" w:hAnsi="Times New Roman" w:cs="Times New Roman"/>
          <w:sz w:val="24"/>
          <w:szCs w:val="24"/>
        </w:rPr>
        <w:t xml:space="preserve">’. </w:t>
      </w:r>
      <w:r w:rsidRPr="00CB0B3B">
        <w:rPr>
          <w:rFonts w:ascii="Times New Roman" w:hAnsi="Times New Roman" w:cs="Times New Roman"/>
          <w:sz w:val="24"/>
          <w:szCs w:val="24"/>
        </w:rPr>
        <w:t xml:space="preserve"> </w:t>
      </w:r>
      <w:r w:rsidRPr="00CB0B3B">
        <w:rPr>
          <w:rFonts w:ascii="Times New Roman" w:hAnsi="Times New Roman" w:cs="Times New Roman"/>
          <w:i/>
          <w:sz w:val="24"/>
          <w:szCs w:val="24"/>
        </w:rPr>
        <w:t>International Journal of Production Economics</w:t>
      </w:r>
      <w:r w:rsidRPr="00CB0B3B">
        <w:rPr>
          <w:rFonts w:ascii="Times New Roman" w:hAnsi="Times New Roman" w:cs="Times New Roman"/>
          <w:sz w:val="24"/>
          <w:szCs w:val="24"/>
        </w:rPr>
        <w:t xml:space="preserve">, Vol. 79, </w:t>
      </w:r>
      <w:r w:rsidR="00DE19B8" w:rsidRPr="00CB0B3B">
        <w:rPr>
          <w:rFonts w:ascii="Times New Roman" w:hAnsi="Times New Roman" w:cs="Times New Roman"/>
          <w:sz w:val="24"/>
          <w:szCs w:val="24"/>
        </w:rPr>
        <w:t xml:space="preserve">(2002) </w:t>
      </w:r>
      <w:r w:rsidRPr="00CB0B3B">
        <w:rPr>
          <w:rFonts w:ascii="Times New Roman" w:hAnsi="Times New Roman" w:cs="Times New Roman"/>
          <w:sz w:val="24"/>
          <w:szCs w:val="24"/>
        </w:rPr>
        <w:t xml:space="preserve">pp.1-14. </w:t>
      </w:r>
    </w:p>
    <w:p w:rsidR="007350B5" w:rsidRPr="00CB0B3B" w:rsidRDefault="007350B5" w:rsidP="008D745F">
      <w:pPr>
        <w:spacing w:after="0" w:line="360" w:lineRule="auto"/>
        <w:rPr>
          <w:rFonts w:ascii="Times New Roman" w:hAnsi="Times New Roman" w:cs="Times New Roman"/>
          <w:sz w:val="24"/>
          <w:szCs w:val="24"/>
        </w:rPr>
      </w:pPr>
    </w:p>
    <w:p w:rsidR="00053D75" w:rsidRPr="00CB0B3B" w:rsidRDefault="00723C17"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Carnegie UK Trust</w:t>
      </w:r>
      <w:r w:rsidR="0004049A">
        <w:rPr>
          <w:rFonts w:ascii="Times New Roman" w:hAnsi="Times New Roman" w:cs="Times New Roman"/>
          <w:sz w:val="24"/>
          <w:szCs w:val="24"/>
        </w:rPr>
        <w:t xml:space="preserve">. </w:t>
      </w:r>
      <w:r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A Charter for Rural Communities. The final report of the Carnegie Commission for rural community development.</w:t>
      </w:r>
      <w:r w:rsidRPr="00CB0B3B">
        <w:rPr>
          <w:rFonts w:ascii="Times New Roman" w:hAnsi="Times New Roman" w:cs="Times New Roman"/>
          <w:sz w:val="24"/>
          <w:szCs w:val="24"/>
        </w:rPr>
        <w:t xml:space="preserve"> </w:t>
      </w:r>
      <w:r w:rsidR="00810C96" w:rsidRPr="00CB0B3B">
        <w:rPr>
          <w:rFonts w:ascii="Times New Roman" w:hAnsi="Times New Roman" w:cs="Times New Roman"/>
          <w:sz w:val="24"/>
          <w:szCs w:val="24"/>
        </w:rPr>
        <w:t xml:space="preserve">(2007) </w:t>
      </w:r>
      <w:r w:rsidRPr="00CB0B3B">
        <w:rPr>
          <w:rFonts w:ascii="Times New Roman" w:hAnsi="Times New Roman" w:cs="Times New Roman"/>
          <w:sz w:val="24"/>
          <w:szCs w:val="24"/>
        </w:rPr>
        <w:t>Available at:</w:t>
      </w:r>
      <w:r w:rsidRPr="00CB0B3B">
        <w:rPr>
          <w:sz w:val="24"/>
          <w:szCs w:val="24"/>
        </w:rPr>
        <w:t xml:space="preserve"> </w:t>
      </w:r>
      <w:hyperlink r:id="rId13" w:history="1">
        <w:r w:rsidR="00053D75" w:rsidRPr="00CB0B3B">
          <w:rPr>
            <w:rStyle w:val="Hyperlink"/>
            <w:rFonts w:ascii="Times New Roman" w:hAnsi="Times New Roman" w:cs="Times New Roman"/>
            <w:sz w:val="24"/>
            <w:szCs w:val="24"/>
          </w:rPr>
          <w:t>http://www.carnegieuktrust.org.uk</w:t>
        </w:r>
      </w:hyperlink>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Coggan, A., Whitten, S., </w:t>
      </w:r>
      <w:r w:rsidR="00810C96" w:rsidRPr="00CB0B3B">
        <w:rPr>
          <w:rFonts w:ascii="Times New Roman" w:hAnsi="Times New Roman" w:cs="Times New Roman"/>
          <w:sz w:val="24"/>
          <w:szCs w:val="24"/>
        </w:rPr>
        <w:t xml:space="preserve">and </w:t>
      </w:r>
      <w:r w:rsidRPr="00CB0B3B">
        <w:rPr>
          <w:rFonts w:ascii="Times New Roman" w:hAnsi="Times New Roman" w:cs="Times New Roman"/>
          <w:sz w:val="24"/>
          <w:szCs w:val="24"/>
        </w:rPr>
        <w:t>Bennett, J.</w:t>
      </w:r>
      <w:r w:rsidR="00DE19B8" w:rsidRPr="00CB0B3B">
        <w:rPr>
          <w:rFonts w:ascii="Times New Roman" w:hAnsi="Times New Roman" w:cs="Times New Roman"/>
          <w:sz w:val="24"/>
          <w:szCs w:val="24"/>
        </w:rPr>
        <w:t xml:space="preserve"> ‘</w:t>
      </w:r>
      <w:r w:rsidRPr="00CB0B3B">
        <w:rPr>
          <w:rFonts w:ascii="Times New Roman" w:hAnsi="Times New Roman" w:cs="Times New Roman"/>
          <w:sz w:val="24"/>
          <w:szCs w:val="24"/>
        </w:rPr>
        <w:t>Influences of transaction costs in environmental policy</w:t>
      </w:r>
      <w:r w:rsidR="0004049A">
        <w:rPr>
          <w:rFonts w:ascii="Times New Roman" w:hAnsi="Times New Roman" w:cs="Times New Roman"/>
          <w:sz w:val="24"/>
          <w:szCs w:val="24"/>
        </w:rPr>
        <w:t xml:space="preserve">’. </w:t>
      </w:r>
      <w:r w:rsidRPr="00CB0B3B">
        <w:rPr>
          <w:rFonts w:ascii="Times New Roman" w:hAnsi="Times New Roman" w:cs="Times New Roman"/>
          <w:sz w:val="24"/>
          <w:szCs w:val="24"/>
        </w:rPr>
        <w:t xml:space="preserve"> </w:t>
      </w:r>
      <w:r w:rsidRPr="00CB0B3B">
        <w:rPr>
          <w:rFonts w:ascii="Times New Roman" w:hAnsi="Times New Roman" w:cs="Times New Roman"/>
          <w:i/>
          <w:sz w:val="24"/>
          <w:szCs w:val="24"/>
        </w:rPr>
        <w:t>Ecological Economics</w:t>
      </w:r>
      <w:r w:rsidR="00DE19B8" w:rsidRPr="00CB0B3B">
        <w:rPr>
          <w:rFonts w:ascii="Times New Roman" w:hAnsi="Times New Roman" w:cs="Times New Roman"/>
          <w:sz w:val="24"/>
          <w:szCs w:val="24"/>
        </w:rPr>
        <w:t>, V</w:t>
      </w:r>
      <w:r w:rsidRPr="00CB0B3B">
        <w:rPr>
          <w:rFonts w:ascii="Times New Roman" w:hAnsi="Times New Roman" w:cs="Times New Roman"/>
          <w:sz w:val="24"/>
          <w:szCs w:val="24"/>
        </w:rPr>
        <w:t xml:space="preserve">ol. 69, </w:t>
      </w:r>
      <w:r w:rsidR="00DE19B8" w:rsidRPr="00CB0B3B">
        <w:rPr>
          <w:rFonts w:ascii="Times New Roman" w:hAnsi="Times New Roman" w:cs="Times New Roman"/>
          <w:sz w:val="24"/>
          <w:szCs w:val="24"/>
        </w:rPr>
        <w:t xml:space="preserve">(2010) </w:t>
      </w:r>
      <w:r w:rsidRPr="00CB0B3B">
        <w:rPr>
          <w:rFonts w:ascii="Times New Roman" w:hAnsi="Times New Roman" w:cs="Times New Roman"/>
          <w:sz w:val="24"/>
          <w:szCs w:val="24"/>
        </w:rPr>
        <w:t>pp. 1777-1784.</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Commons, John R. </w:t>
      </w:r>
      <w:r w:rsidR="00DE19B8" w:rsidRPr="00CB0B3B">
        <w:rPr>
          <w:rFonts w:ascii="Times New Roman" w:hAnsi="Times New Roman" w:cs="Times New Roman"/>
          <w:sz w:val="24"/>
          <w:szCs w:val="24"/>
        </w:rPr>
        <w:t>‘</w:t>
      </w:r>
      <w:r w:rsidRPr="00CB0B3B">
        <w:rPr>
          <w:rFonts w:ascii="Times New Roman" w:hAnsi="Times New Roman" w:cs="Times New Roman"/>
          <w:sz w:val="24"/>
          <w:szCs w:val="24"/>
        </w:rPr>
        <w:t>Institutional Economics</w:t>
      </w:r>
      <w:r w:rsidR="00DE19B8" w:rsidRPr="00CB0B3B">
        <w:rPr>
          <w:rFonts w:ascii="Times New Roman" w:hAnsi="Times New Roman" w:cs="Times New Roman"/>
          <w:sz w:val="24"/>
          <w:szCs w:val="24"/>
        </w:rPr>
        <w:t>’</w:t>
      </w:r>
      <w:r w:rsidR="0004049A">
        <w:rPr>
          <w:rFonts w:ascii="Times New Roman" w:hAnsi="Times New Roman" w:cs="Times New Roman"/>
          <w:sz w:val="24"/>
          <w:szCs w:val="24"/>
        </w:rPr>
        <w:t>.</w:t>
      </w:r>
      <w:r w:rsidRPr="00CB0B3B">
        <w:rPr>
          <w:rFonts w:ascii="Times New Roman" w:hAnsi="Times New Roman" w:cs="Times New Roman"/>
          <w:sz w:val="24"/>
          <w:szCs w:val="24"/>
        </w:rPr>
        <w:t xml:space="preserve">  </w:t>
      </w:r>
      <w:r w:rsidRPr="00CB0B3B">
        <w:rPr>
          <w:rFonts w:ascii="Times New Roman" w:hAnsi="Times New Roman" w:cs="Times New Roman"/>
          <w:i/>
          <w:sz w:val="24"/>
          <w:szCs w:val="24"/>
        </w:rPr>
        <w:t>American Economic Review</w:t>
      </w:r>
      <w:r w:rsidRPr="00CB0B3B">
        <w:rPr>
          <w:rFonts w:ascii="Times New Roman" w:hAnsi="Times New Roman" w:cs="Times New Roman"/>
          <w:sz w:val="24"/>
          <w:szCs w:val="24"/>
        </w:rPr>
        <w:t>, Vol. 21,</w:t>
      </w:r>
      <w:r w:rsidR="00DE19B8" w:rsidRPr="00CB0B3B">
        <w:rPr>
          <w:rFonts w:ascii="Times New Roman" w:hAnsi="Times New Roman" w:cs="Times New Roman"/>
          <w:sz w:val="24"/>
          <w:szCs w:val="24"/>
        </w:rPr>
        <w:t xml:space="preserve"> (1931)</w:t>
      </w:r>
      <w:r w:rsidRPr="00CB0B3B">
        <w:rPr>
          <w:rFonts w:ascii="Times New Roman" w:hAnsi="Times New Roman" w:cs="Times New Roman"/>
          <w:sz w:val="24"/>
          <w:szCs w:val="24"/>
        </w:rPr>
        <w:t xml:space="preserve"> pp. 648-657.</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Curry, N. </w:t>
      </w:r>
      <w:r w:rsidR="00F21E32" w:rsidRPr="00CB0B3B">
        <w:rPr>
          <w:rFonts w:ascii="Times New Roman" w:hAnsi="Times New Roman" w:cs="Times New Roman"/>
          <w:sz w:val="24"/>
          <w:szCs w:val="24"/>
        </w:rPr>
        <w:t xml:space="preserve"> ‘</w:t>
      </w:r>
      <w:r w:rsidRPr="00CB0B3B">
        <w:rPr>
          <w:rFonts w:ascii="Times New Roman" w:hAnsi="Times New Roman" w:cs="Times New Roman"/>
          <w:sz w:val="24"/>
          <w:szCs w:val="24"/>
        </w:rPr>
        <w:t>Transactions costs in rural decision-making: the case of funding and monitoring in rural development in England</w:t>
      </w:r>
      <w:r w:rsidR="0004049A">
        <w:rPr>
          <w:rFonts w:ascii="Times New Roman" w:hAnsi="Times New Roman" w:cs="Times New Roman"/>
          <w:sz w:val="24"/>
          <w:szCs w:val="24"/>
        </w:rPr>
        <w:t>’.</w:t>
      </w:r>
      <w:r w:rsidRPr="00CB0B3B">
        <w:rPr>
          <w:rFonts w:ascii="Times New Roman" w:hAnsi="Times New Roman" w:cs="Times New Roman"/>
          <w:sz w:val="24"/>
          <w:szCs w:val="24"/>
        </w:rPr>
        <w:t xml:space="preserve"> </w:t>
      </w:r>
      <w:r w:rsidRPr="00CB0B3B">
        <w:rPr>
          <w:rFonts w:ascii="Times New Roman" w:hAnsi="Times New Roman" w:cs="Times New Roman"/>
          <w:i/>
          <w:sz w:val="24"/>
          <w:szCs w:val="24"/>
        </w:rPr>
        <w:t>Public Administration</w:t>
      </w:r>
      <w:r w:rsidRPr="00CB0B3B">
        <w:rPr>
          <w:rFonts w:ascii="Times New Roman" w:hAnsi="Times New Roman" w:cs="Times New Roman"/>
          <w:sz w:val="24"/>
          <w:szCs w:val="24"/>
        </w:rPr>
        <w:t xml:space="preserve">, </w:t>
      </w:r>
      <w:r w:rsidR="00F21E32" w:rsidRPr="00CB0B3B">
        <w:rPr>
          <w:rFonts w:ascii="Times New Roman" w:hAnsi="Times New Roman" w:cs="Times New Roman"/>
          <w:sz w:val="24"/>
          <w:szCs w:val="24"/>
        </w:rPr>
        <w:t xml:space="preserve">Vol. </w:t>
      </w:r>
      <w:r w:rsidRPr="00CB0B3B">
        <w:rPr>
          <w:rFonts w:ascii="Times New Roman" w:hAnsi="Times New Roman" w:cs="Times New Roman"/>
          <w:sz w:val="24"/>
          <w:szCs w:val="24"/>
        </w:rPr>
        <w:t>90 (3)</w:t>
      </w:r>
      <w:r w:rsidR="00F21E32" w:rsidRPr="00CB0B3B">
        <w:rPr>
          <w:rFonts w:ascii="Times New Roman" w:hAnsi="Times New Roman" w:cs="Times New Roman"/>
          <w:sz w:val="24"/>
          <w:szCs w:val="24"/>
        </w:rPr>
        <w:t>, (2012)</w:t>
      </w:r>
      <w:r w:rsidRPr="00CB0B3B">
        <w:rPr>
          <w:rFonts w:ascii="Times New Roman" w:hAnsi="Times New Roman" w:cs="Times New Roman"/>
          <w:sz w:val="24"/>
          <w:szCs w:val="24"/>
        </w:rPr>
        <w:t xml:space="preserve"> pp. 622-641.</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Davidova, S., Bailey, A.,</w:t>
      </w:r>
      <w:r w:rsidR="00810C96" w:rsidRPr="00CB0B3B">
        <w:rPr>
          <w:rFonts w:ascii="Times New Roman" w:hAnsi="Times New Roman" w:cs="Times New Roman"/>
          <w:sz w:val="24"/>
          <w:szCs w:val="24"/>
        </w:rPr>
        <w:t xml:space="preserve"> </w:t>
      </w:r>
      <w:r w:rsidRPr="00CB0B3B">
        <w:rPr>
          <w:rFonts w:ascii="Times New Roman" w:hAnsi="Times New Roman" w:cs="Times New Roman"/>
          <w:sz w:val="24"/>
          <w:szCs w:val="24"/>
        </w:rPr>
        <w:t>Dwyer, J., Erjavec, E., Gorton, M. and Thomson, K.</w:t>
      </w:r>
      <w:r w:rsidR="00F21E32" w:rsidRPr="00CB0B3B">
        <w:rPr>
          <w:rFonts w:ascii="Times New Roman" w:hAnsi="Times New Roman" w:cs="Times New Roman"/>
          <w:sz w:val="24"/>
          <w:szCs w:val="24"/>
        </w:rPr>
        <w:t xml:space="preserve"> </w:t>
      </w:r>
      <w:r w:rsidR="0004049A">
        <w:rPr>
          <w:rFonts w:ascii="Times New Roman" w:hAnsi="Times New Roman" w:cs="Times New Roman"/>
          <w:sz w:val="24"/>
          <w:szCs w:val="24"/>
        </w:rPr>
        <w:t xml:space="preserve"> </w:t>
      </w:r>
      <w:r w:rsidR="00171FE3" w:rsidRPr="00CB0B3B">
        <w:rPr>
          <w:rFonts w:ascii="Times New Roman" w:hAnsi="Times New Roman" w:cs="Times New Roman"/>
          <w:i/>
          <w:sz w:val="24"/>
          <w:szCs w:val="24"/>
        </w:rPr>
        <w:t>Study: Semi-subsistence farming - value and directions of development</w:t>
      </w:r>
      <w:r w:rsidR="00F21E32" w:rsidRPr="00CB0B3B">
        <w:rPr>
          <w:rFonts w:ascii="Times New Roman" w:hAnsi="Times New Roman" w:cs="Times New Roman"/>
          <w:sz w:val="24"/>
          <w:szCs w:val="24"/>
        </w:rPr>
        <w:t xml:space="preserve">.  </w:t>
      </w:r>
      <w:r w:rsidRPr="00CB0B3B">
        <w:rPr>
          <w:rFonts w:ascii="Times New Roman" w:hAnsi="Times New Roman" w:cs="Times New Roman"/>
          <w:sz w:val="24"/>
          <w:szCs w:val="24"/>
        </w:rPr>
        <w:t xml:space="preserve">IP/B/AGRI/IC/2012-65, </w:t>
      </w:r>
      <w:r w:rsidR="00F21E32" w:rsidRPr="00CB0B3B">
        <w:rPr>
          <w:rFonts w:ascii="Times New Roman" w:hAnsi="Times New Roman" w:cs="Times New Roman"/>
          <w:sz w:val="24"/>
          <w:szCs w:val="24"/>
        </w:rPr>
        <w:t>(</w:t>
      </w:r>
      <w:r w:rsidRPr="00CB0B3B">
        <w:rPr>
          <w:rFonts w:ascii="Times New Roman" w:hAnsi="Times New Roman" w:cs="Times New Roman"/>
          <w:sz w:val="24"/>
          <w:szCs w:val="24"/>
        </w:rPr>
        <w:t>2013</w:t>
      </w:r>
      <w:r w:rsidR="00F21E32" w:rsidRPr="00CB0B3B">
        <w:rPr>
          <w:rFonts w:ascii="Times New Roman" w:hAnsi="Times New Roman" w:cs="Times New Roman"/>
          <w:sz w:val="24"/>
          <w:szCs w:val="24"/>
        </w:rPr>
        <w:t>)</w:t>
      </w:r>
      <w:r w:rsidRPr="00CB0B3B">
        <w:rPr>
          <w:rFonts w:ascii="Times New Roman" w:hAnsi="Times New Roman" w:cs="Times New Roman"/>
          <w:sz w:val="24"/>
          <w:szCs w:val="24"/>
        </w:rPr>
        <w:t>.</w:t>
      </w:r>
      <w:r w:rsidR="003545A1">
        <w:rPr>
          <w:rFonts w:ascii="Times New Roman" w:hAnsi="Times New Roman" w:cs="Times New Roman"/>
          <w:sz w:val="24"/>
          <w:szCs w:val="24"/>
        </w:rPr>
        <w:t xml:space="preserve"> European Parliament, Brussels.</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Dwyer, J., Buckwell, A., Hart, K., Menadue, H., Mantino, F., Erjavec, E. and Ilbery, B. </w:t>
      </w:r>
      <w:r w:rsidR="00F21E32"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Study: How to improve the sustainable competitiveness and innovation of the agriculture sector</w:t>
      </w:r>
      <w:r w:rsidRPr="00CB0B3B">
        <w:rPr>
          <w:rFonts w:ascii="Times New Roman" w:hAnsi="Times New Roman" w:cs="Times New Roman"/>
          <w:sz w:val="24"/>
          <w:szCs w:val="24"/>
        </w:rPr>
        <w:t xml:space="preserve">. IP/B/AGRI/IC/2011-100. </w:t>
      </w:r>
      <w:r w:rsidR="00F21E32" w:rsidRPr="00CB0B3B">
        <w:rPr>
          <w:rFonts w:ascii="Times New Roman" w:hAnsi="Times New Roman" w:cs="Times New Roman"/>
          <w:sz w:val="24"/>
          <w:szCs w:val="24"/>
        </w:rPr>
        <w:t>(</w:t>
      </w:r>
      <w:r w:rsidRPr="00CB0B3B">
        <w:rPr>
          <w:rFonts w:ascii="Times New Roman" w:hAnsi="Times New Roman" w:cs="Times New Roman"/>
          <w:sz w:val="24"/>
          <w:szCs w:val="24"/>
        </w:rPr>
        <w:t>2012</w:t>
      </w:r>
      <w:r w:rsidR="00A82658">
        <w:rPr>
          <w:rFonts w:ascii="Times New Roman" w:hAnsi="Times New Roman" w:cs="Times New Roman"/>
          <w:sz w:val="24"/>
          <w:szCs w:val="24"/>
        </w:rPr>
        <w:t>a</w:t>
      </w:r>
      <w:r w:rsidR="00F21E32" w:rsidRPr="00CB0B3B">
        <w:rPr>
          <w:rFonts w:ascii="Times New Roman" w:hAnsi="Times New Roman" w:cs="Times New Roman"/>
          <w:sz w:val="24"/>
          <w:szCs w:val="24"/>
        </w:rPr>
        <w:t>)</w:t>
      </w:r>
      <w:r w:rsidR="0004049A">
        <w:rPr>
          <w:rFonts w:ascii="Times New Roman" w:hAnsi="Times New Roman" w:cs="Times New Roman"/>
          <w:sz w:val="24"/>
          <w:szCs w:val="24"/>
        </w:rPr>
        <w:t xml:space="preserve">. At </w:t>
      </w:r>
      <w:hyperlink r:id="rId14" w:history="1">
        <w:r w:rsidR="00F21E32" w:rsidRPr="00CB0B3B">
          <w:rPr>
            <w:rStyle w:val="Hyperlink"/>
            <w:rFonts w:ascii="Times New Roman" w:hAnsi="Times New Roman" w:cs="Times New Roman"/>
            <w:sz w:val="24"/>
            <w:szCs w:val="24"/>
          </w:rPr>
          <w:t>www.europarl.europa.eu/studies</w:t>
        </w:r>
      </w:hyperlink>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Dwyer, J., Powell, J., Lewis, N., Courtney, P., Mallia, S., Muscat, R., Cordina, G. </w:t>
      </w:r>
      <w:r w:rsidR="00171FE3" w:rsidRPr="00CB0B3B">
        <w:rPr>
          <w:rFonts w:ascii="Times New Roman" w:hAnsi="Times New Roman" w:cs="Times New Roman"/>
          <w:i/>
          <w:sz w:val="24"/>
          <w:szCs w:val="24"/>
        </w:rPr>
        <w:t xml:space="preserve">A </w:t>
      </w:r>
      <w:r w:rsidR="00FE4D54" w:rsidRPr="00CB0B3B">
        <w:rPr>
          <w:rFonts w:ascii="Times New Roman" w:hAnsi="Times New Roman" w:cs="Times New Roman"/>
          <w:i/>
          <w:sz w:val="24"/>
          <w:szCs w:val="24"/>
        </w:rPr>
        <w:t>n</w:t>
      </w:r>
      <w:r w:rsidR="00171FE3" w:rsidRPr="00CB0B3B">
        <w:rPr>
          <w:rFonts w:ascii="Times New Roman" w:hAnsi="Times New Roman" w:cs="Times New Roman"/>
          <w:i/>
          <w:sz w:val="24"/>
          <w:szCs w:val="24"/>
        </w:rPr>
        <w:t>ew approach to Malta’s RDP.  Report submitted to the Maltese government</w:t>
      </w:r>
      <w:r w:rsidR="00493FE6" w:rsidRPr="00CB0B3B">
        <w:rPr>
          <w:rFonts w:ascii="Times New Roman" w:hAnsi="Times New Roman" w:cs="Times New Roman"/>
          <w:sz w:val="24"/>
          <w:szCs w:val="24"/>
        </w:rPr>
        <w:t xml:space="preserve">.  </w:t>
      </w:r>
      <w:r w:rsidR="00F21E32" w:rsidRPr="00CB0B3B">
        <w:rPr>
          <w:rFonts w:ascii="Times New Roman" w:hAnsi="Times New Roman" w:cs="Times New Roman"/>
          <w:sz w:val="24"/>
          <w:szCs w:val="24"/>
        </w:rPr>
        <w:t>(2012</w:t>
      </w:r>
      <w:r w:rsidR="00A82658">
        <w:rPr>
          <w:rFonts w:ascii="Times New Roman" w:hAnsi="Times New Roman" w:cs="Times New Roman"/>
          <w:sz w:val="24"/>
          <w:szCs w:val="24"/>
        </w:rPr>
        <w:t>b</w:t>
      </w:r>
      <w:r w:rsidR="00F21E32" w:rsidRPr="00CB0B3B">
        <w:rPr>
          <w:rFonts w:ascii="Times New Roman" w:hAnsi="Times New Roman" w:cs="Times New Roman"/>
          <w:sz w:val="24"/>
          <w:szCs w:val="24"/>
        </w:rPr>
        <w:t xml:space="preserve">)  </w:t>
      </w:r>
      <w:r w:rsidRPr="00CB0B3B">
        <w:rPr>
          <w:rFonts w:ascii="Times New Roman" w:hAnsi="Times New Roman" w:cs="Times New Roman"/>
          <w:sz w:val="24"/>
          <w:szCs w:val="24"/>
        </w:rPr>
        <w:t>CCRI</w:t>
      </w:r>
      <w:r w:rsidR="00493FE6" w:rsidRPr="00CB0B3B">
        <w:rPr>
          <w:rFonts w:ascii="Times New Roman" w:hAnsi="Times New Roman" w:cs="Times New Roman"/>
          <w:sz w:val="24"/>
          <w:szCs w:val="24"/>
        </w:rPr>
        <w:t>, University of Gloucestershire</w:t>
      </w:r>
      <w:r w:rsidR="00FE4D54" w:rsidRPr="00CB0B3B">
        <w:rPr>
          <w:rFonts w:ascii="Times New Roman" w:hAnsi="Times New Roman" w:cs="Times New Roman"/>
          <w:sz w:val="24"/>
          <w:szCs w:val="24"/>
        </w:rPr>
        <w:t>.</w:t>
      </w:r>
    </w:p>
    <w:p w:rsidR="007350B5" w:rsidRPr="00CB0B3B" w:rsidRDefault="007350B5" w:rsidP="008D745F">
      <w:pPr>
        <w:spacing w:after="0" w:line="360" w:lineRule="auto"/>
        <w:rPr>
          <w:rFonts w:ascii="Times New Roman" w:hAnsi="Times New Roman" w:cs="Times New Roman"/>
          <w:sz w:val="24"/>
          <w:szCs w:val="24"/>
        </w:rPr>
      </w:pPr>
    </w:p>
    <w:p w:rsidR="007350B5" w:rsidRDefault="00343722"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Erjavec, E. (201</w:t>
      </w:r>
      <w:r w:rsidR="005173A5" w:rsidRPr="00CB0B3B">
        <w:rPr>
          <w:rFonts w:ascii="Times New Roman" w:hAnsi="Times New Roman" w:cs="Times New Roman"/>
          <w:sz w:val="24"/>
          <w:szCs w:val="24"/>
        </w:rPr>
        <w:t>2</w:t>
      </w:r>
      <w:r w:rsidRPr="00CB0B3B">
        <w:rPr>
          <w:rFonts w:ascii="Times New Roman" w:hAnsi="Times New Roman" w:cs="Times New Roman"/>
          <w:sz w:val="24"/>
          <w:szCs w:val="24"/>
        </w:rPr>
        <w:t xml:space="preserve">) </w:t>
      </w:r>
      <w:r w:rsidRPr="003545A1">
        <w:rPr>
          <w:rFonts w:ascii="Times New Roman" w:hAnsi="Times New Roman" w:cs="Times New Roman"/>
          <w:i/>
          <w:sz w:val="24"/>
          <w:szCs w:val="24"/>
        </w:rPr>
        <w:t>Why no ‘green revolution’ in new Member States?</w:t>
      </w:r>
      <w:r w:rsidRPr="00CB0B3B">
        <w:rPr>
          <w:rFonts w:ascii="Times New Roman" w:hAnsi="Times New Roman" w:cs="Times New Roman"/>
          <w:sz w:val="24"/>
          <w:szCs w:val="24"/>
        </w:rPr>
        <w:t xml:space="preserve">  Blog post, 21 April 2012. At </w:t>
      </w:r>
      <w:hyperlink r:id="rId15" w:history="1">
        <w:r w:rsidR="005173A5" w:rsidRPr="00CB0B3B">
          <w:rPr>
            <w:rStyle w:val="Hyperlink"/>
            <w:rFonts w:ascii="Times New Roman" w:hAnsi="Times New Roman" w:cs="Times New Roman"/>
            <w:sz w:val="24"/>
            <w:szCs w:val="24"/>
          </w:rPr>
          <w:t>http://capreform.eu/why-there-is-no-green-revolution-in-nms-despite-rich-rd-funding-for-increasing-agro-food-sector-competitiveness/</w:t>
        </w:r>
      </w:hyperlink>
      <w:r w:rsidR="005173A5" w:rsidRPr="00CB0B3B">
        <w:rPr>
          <w:rFonts w:ascii="Times New Roman" w:hAnsi="Times New Roman" w:cs="Times New Roman"/>
          <w:sz w:val="24"/>
          <w:szCs w:val="24"/>
        </w:rPr>
        <w:t>. Last accessed 6 Feb 2015.</w:t>
      </w:r>
    </w:p>
    <w:p w:rsidR="003545A1" w:rsidRPr="00CB0B3B" w:rsidRDefault="003545A1" w:rsidP="008D745F">
      <w:pPr>
        <w:spacing w:after="0" w:line="360" w:lineRule="auto"/>
        <w:rPr>
          <w:rFonts w:ascii="Times New Roman" w:hAnsi="Times New Roman" w:cs="Times New Roman"/>
          <w:sz w:val="24"/>
          <w:szCs w:val="24"/>
        </w:rPr>
      </w:pPr>
    </w:p>
    <w:p w:rsidR="007350B5" w:rsidRPr="00CB0B3B" w:rsidRDefault="006466B9" w:rsidP="008D745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European Commission (2005) </w:t>
      </w:r>
      <w:r w:rsidRPr="00A82658">
        <w:rPr>
          <w:rFonts w:ascii="Times New Roman" w:hAnsi="Times New Roman" w:cs="Times New Roman"/>
          <w:i/>
          <w:sz w:val="24"/>
          <w:szCs w:val="24"/>
        </w:rPr>
        <w:t>Council Regulation (EC) No 1698/2005 of 20 September 2005 on support for rural development by the European Agricultural Fund for Rural Development (EAFRD)</w:t>
      </w:r>
      <w:r>
        <w:rPr>
          <w:rFonts w:ascii="Times New Roman" w:hAnsi="Times New Roman" w:cs="Times New Roman"/>
          <w:sz w:val="24"/>
          <w:szCs w:val="24"/>
        </w:rPr>
        <w:t xml:space="preserve">. </w:t>
      </w:r>
      <w:r w:rsidR="00A82658">
        <w:rPr>
          <w:rFonts w:ascii="Times New Roman" w:hAnsi="Times New Roman" w:cs="Times New Roman"/>
          <w:sz w:val="24"/>
          <w:szCs w:val="24"/>
        </w:rPr>
        <w:t xml:space="preserve">Commission of the European Communities, </w:t>
      </w:r>
      <w:r>
        <w:rPr>
          <w:rFonts w:ascii="Times New Roman" w:hAnsi="Times New Roman" w:cs="Times New Roman"/>
          <w:sz w:val="24"/>
          <w:szCs w:val="24"/>
        </w:rPr>
        <w:t>Brussels.</w:t>
      </w:r>
    </w:p>
    <w:p w:rsidR="006466B9" w:rsidRDefault="006466B9"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i/>
          <w:sz w:val="24"/>
          <w:szCs w:val="24"/>
        </w:rPr>
      </w:pPr>
      <w:r w:rsidRPr="00CB0B3B">
        <w:rPr>
          <w:rFonts w:ascii="Times New Roman" w:hAnsi="Times New Roman" w:cs="Times New Roman"/>
          <w:sz w:val="24"/>
          <w:szCs w:val="24"/>
        </w:rPr>
        <w:t>European Commission</w:t>
      </w:r>
      <w:r w:rsidR="0004049A">
        <w:rPr>
          <w:rFonts w:ascii="Times New Roman" w:hAnsi="Times New Roman" w:cs="Times New Roman"/>
          <w:sz w:val="24"/>
          <w:szCs w:val="24"/>
        </w:rPr>
        <w:t xml:space="preserve">. </w:t>
      </w:r>
      <w:r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 xml:space="preserve">Rural development in the European Union: Statistical and Economic </w:t>
      </w:r>
    </w:p>
    <w:p w:rsidR="007350B5" w:rsidRPr="00CB0B3B" w:rsidRDefault="00171FE3" w:rsidP="008D745F">
      <w:pPr>
        <w:spacing w:after="0" w:line="360" w:lineRule="auto"/>
        <w:rPr>
          <w:rFonts w:ascii="Times New Roman" w:hAnsi="Times New Roman" w:cs="Times New Roman"/>
          <w:sz w:val="24"/>
          <w:szCs w:val="24"/>
        </w:rPr>
      </w:pPr>
      <w:r w:rsidRPr="00CB0B3B">
        <w:rPr>
          <w:rFonts w:ascii="Times New Roman" w:hAnsi="Times New Roman" w:cs="Times New Roman"/>
          <w:i/>
          <w:sz w:val="24"/>
          <w:szCs w:val="24"/>
        </w:rPr>
        <w:t>Information</w:t>
      </w:r>
      <w:r w:rsidR="007350B5" w:rsidRPr="00CB0B3B">
        <w:rPr>
          <w:rFonts w:ascii="Times New Roman" w:hAnsi="Times New Roman" w:cs="Times New Roman"/>
          <w:sz w:val="24"/>
          <w:szCs w:val="24"/>
        </w:rPr>
        <w:t>,</w:t>
      </w:r>
      <w:r w:rsidR="0004049A">
        <w:rPr>
          <w:rFonts w:ascii="Times New Roman" w:hAnsi="Times New Roman" w:cs="Times New Roman"/>
          <w:sz w:val="24"/>
          <w:szCs w:val="24"/>
        </w:rPr>
        <w:t xml:space="preserve"> </w:t>
      </w:r>
      <w:r w:rsidR="00F21E32" w:rsidRPr="00CB0B3B">
        <w:rPr>
          <w:rFonts w:ascii="Times New Roman" w:hAnsi="Times New Roman" w:cs="Times New Roman"/>
          <w:sz w:val="24"/>
          <w:szCs w:val="24"/>
        </w:rPr>
        <w:t>(</w:t>
      </w:r>
      <w:r w:rsidR="007350B5" w:rsidRPr="00CB0B3B">
        <w:rPr>
          <w:rFonts w:ascii="Times New Roman" w:hAnsi="Times New Roman" w:cs="Times New Roman"/>
          <w:sz w:val="24"/>
          <w:szCs w:val="24"/>
        </w:rPr>
        <w:t>2007</w:t>
      </w:r>
      <w:r w:rsidR="00F21E32" w:rsidRPr="00CB0B3B">
        <w:rPr>
          <w:rFonts w:ascii="Times New Roman" w:hAnsi="Times New Roman" w:cs="Times New Roman"/>
          <w:sz w:val="24"/>
          <w:szCs w:val="24"/>
        </w:rPr>
        <w:t>)</w:t>
      </w:r>
      <w:r w:rsidR="003545A1">
        <w:rPr>
          <w:rFonts w:ascii="Times New Roman" w:hAnsi="Times New Roman" w:cs="Times New Roman"/>
          <w:sz w:val="24"/>
          <w:szCs w:val="24"/>
        </w:rPr>
        <w:t>.</w:t>
      </w:r>
      <w:r w:rsidR="00F21E32" w:rsidRPr="00CB0B3B">
        <w:rPr>
          <w:rFonts w:ascii="Times New Roman" w:hAnsi="Times New Roman" w:cs="Times New Roman"/>
          <w:sz w:val="24"/>
          <w:szCs w:val="24"/>
        </w:rPr>
        <w:t xml:space="preserve"> </w:t>
      </w:r>
      <w:r w:rsidR="007350B5" w:rsidRPr="00CB0B3B">
        <w:rPr>
          <w:rFonts w:ascii="Times New Roman" w:hAnsi="Times New Roman" w:cs="Times New Roman"/>
          <w:sz w:val="24"/>
          <w:szCs w:val="24"/>
        </w:rPr>
        <w:t xml:space="preserve"> Commission of the European Communities, Brussels.</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European Commission</w:t>
      </w:r>
      <w:r w:rsidR="0004049A">
        <w:rPr>
          <w:rFonts w:ascii="Times New Roman" w:hAnsi="Times New Roman" w:cs="Times New Roman"/>
          <w:sz w:val="24"/>
          <w:szCs w:val="24"/>
        </w:rPr>
        <w:t xml:space="preserve">. </w:t>
      </w:r>
      <w:r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6th financial report from the Commission to the European Parliament and the Council on the European Agricultural Fund for Rural Development (EAFRD): 2012 financial year</w:t>
      </w:r>
      <w:r w:rsidRPr="00CB0B3B">
        <w:rPr>
          <w:rFonts w:ascii="Times New Roman" w:hAnsi="Times New Roman" w:cs="Times New Roman"/>
          <w:sz w:val="24"/>
          <w:szCs w:val="24"/>
        </w:rPr>
        <w:t>. {swd(2013) 409 final}</w:t>
      </w:r>
      <w:r w:rsidR="00F21E32" w:rsidRPr="00CB0B3B">
        <w:rPr>
          <w:rFonts w:ascii="Times New Roman" w:hAnsi="Times New Roman" w:cs="Times New Roman"/>
          <w:sz w:val="24"/>
          <w:szCs w:val="24"/>
        </w:rPr>
        <w:t xml:space="preserve">(2012) </w:t>
      </w:r>
      <w:r w:rsidRPr="00CB0B3B">
        <w:rPr>
          <w:rFonts w:ascii="Times New Roman" w:hAnsi="Times New Roman" w:cs="Times New Roman"/>
          <w:sz w:val="24"/>
          <w:szCs w:val="24"/>
        </w:rPr>
        <w:t xml:space="preserve"> Commission of the European Communities, Brussels.</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European Network for Rural Development</w:t>
      </w:r>
      <w:r w:rsidR="000107BF" w:rsidRPr="00CB0B3B">
        <w:rPr>
          <w:rFonts w:ascii="Times New Roman" w:hAnsi="Times New Roman" w:cs="Times New Roman"/>
          <w:sz w:val="24"/>
          <w:szCs w:val="24"/>
        </w:rPr>
        <w:t xml:space="preserve">. </w:t>
      </w:r>
      <w:r w:rsidRPr="00CB0B3B">
        <w:rPr>
          <w:rFonts w:ascii="Times New Roman" w:hAnsi="Times New Roman" w:cs="Times New Roman"/>
          <w:sz w:val="24"/>
          <w:szCs w:val="24"/>
        </w:rPr>
        <w:t xml:space="preserve"> </w:t>
      </w:r>
      <w:r w:rsidR="005173A5"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 xml:space="preserve">Thematic Working Group 4. Delivery mechanisms of rural development policy: final report. </w:t>
      </w:r>
      <w:r w:rsidR="005173A5" w:rsidRPr="00CB0B3B">
        <w:rPr>
          <w:rFonts w:ascii="Times New Roman" w:hAnsi="Times New Roman" w:cs="Times New Roman"/>
          <w:sz w:val="24"/>
          <w:szCs w:val="24"/>
        </w:rPr>
        <w:t>ENRD, Brussels (2011). Available at:</w:t>
      </w:r>
      <w:r w:rsidR="005173A5" w:rsidRPr="00CB0B3B">
        <w:rPr>
          <w:sz w:val="24"/>
          <w:szCs w:val="24"/>
        </w:rPr>
        <w:t xml:space="preserve"> </w:t>
      </w:r>
      <w:hyperlink r:id="rId16" w:history="1">
        <w:r w:rsidR="005173A5" w:rsidRPr="00CB0B3B">
          <w:rPr>
            <w:rStyle w:val="Hyperlink"/>
            <w:rFonts w:ascii="Times New Roman" w:hAnsi="Times New Roman" w:cs="Times New Roman"/>
            <w:sz w:val="24"/>
            <w:szCs w:val="24"/>
          </w:rPr>
          <w:t>http://enrd.ec.europa.eu/enrd-static/fms/pdf/D44FCDEB-C1DC-3F8B-8EDE-B5C89302360C.pdf</w:t>
        </w:r>
      </w:hyperlink>
      <w:r w:rsidR="005173A5" w:rsidRPr="00CB0B3B">
        <w:rPr>
          <w:rFonts w:ascii="Times New Roman" w:hAnsi="Times New Roman" w:cs="Times New Roman"/>
          <w:sz w:val="24"/>
          <w:szCs w:val="24"/>
        </w:rPr>
        <w:t xml:space="preserve"> Accessed 6 February 2015.</w:t>
      </w:r>
    </w:p>
    <w:p w:rsidR="003545A1" w:rsidRDefault="003545A1" w:rsidP="003545A1">
      <w:pPr>
        <w:spacing w:after="0" w:line="360" w:lineRule="auto"/>
        <w:rPr>
          <w:rFonts w:ascii="Times New Roman" w:hAnsi="Times New Roman" w:cs="Times New Roman"/>
          <w:sz w:val="24"/>
          <w:szCs w:val="24"/>
        </w:rPr>
      </w:pPr>
    </w:p>
    <w:p w:rsidR="003545A1" w:rsidRPr="003545A1" w:rsidRDefault="003545A1" w:rsidP="003545A1">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European Network for Rural Development. </w:t>
      </w:r>
      <w:r w:rsidRPr="003545A1">
        <w:rPr>
          <w:rFonts w:ascii="Times New Roman" w:hAnsi="Times New Roman" w:cs="Times New Roman"/>
          <w:i/>
          <w:sz w:val="24"/>
          <w:szCs w:val="24"/>
        </w:rPr>
        <w:t>European Conference on</w:t>
      </w:r>
    </w:p>
    <w:p w:rsidR="005173A5" w:rsidRPr="003545A1" w:rsidRDefault="003545A1" w:rsidP="003545A1">
      <w:pPr>
        <w:spacing w:after="0" w:line="360" w:lineRule="auto"/>
        <w:rPr>
          <w:rFonts w:ascii="Times New Roman" w:hAnsi="Times New Roman" w:cs="Times New Roman"/>
          <w:sz w:val="24"/>
          <w:szCs w:val="24"/>
        </w:rPr>
      </w:pPr>
      <w:r w:rsidRPr="003545A1">
        <w:rPr>
          <w:rFonts w:ascii="Times New Roman" w:hAnsi="Times New Roman" w:cs="Times New Roman"/>
          <w:i/>
          <w:sz w:val="24"/>
          <w:szCs w:val="24"/>
        </w:rPr>
        <w:t>“Unlocking the Potential of the RDPs”</w:t>
      </w:r>
      <w:r>
        <w:rPr>
          <w:rFonts w:ascii="Times New Roman" w:hAnsi="Times New Roman" w:cs="Times New Roman"/>
          <w:sz w:val="24"/>
          <w:szCs w:val="24"/>
        </w:rPr>
        <w:t xml:space="preserve"> </w:t>
      </w:r>
      <w:r w:rsidRPr="003545A1">
        <w:rPr>
          <w:rFonts w:ascii="Times New Roman" w:hAnsi="Times New Roman" w:cs="Times New Roman"/>
          <w:i/>
          <w:sz w:val="24"/>
          <w:szCs w:val="24"/>
        </w:rPr>
        <w:t>1</w:t>
      </w:r>
      <w:r w:rsidRPr="003545A1">
        <w:rPr>
          <w:rFonts w:ascii="Times New Roman" w:hAnsi="Times New Roman" w:cs="Times New Roman"/>
          <w:i/>
          <w:sz w:val="24"/>
          <w:szCs w:val="24"/>
          <w:vertAlign w:val="superscript"/>
        </w:rPr>
        <w:t>st</w:t>
      </w:r>
      <w:r w:rsidRPr="003545A1">
        <w:rPr>
          <w:rFonts w:ascii="Times New Roman" w:hAnsi="Times New Roman" w:cs="Times New Roman"/>
          <w:i/>
          <w:sz w:val="24"/>
          <w:szCs w:val="24"/>
        </w:rPr>
        <w:t xml:space="preserve"> January 2016, Brussels.</w:t>
      </w:r>
      <w:r>
        <w:rPr>
          <w:rFonts w:ascii="Times New Roman" w:hAnsi="Times New Roman" w:cs="Times New Roman"/>
          <w:sz w:val="24"/>
          <w:szCs w:val="24"/>
        </w:rPr>
        <w:t xml:space="preserve"> (2016) ENRD, Brussels. Available at:</w:t>
      </w:r>
      <w:r w:rsidRPr="003545A1">
        <w:t xml:space="preserve"> </w:t>
      </w:r>
      <w:hyperlink r:id="rId17" w:history="1">
        <w:r w:rsidRPr="00924F08">
          <w:rPr>
            <w:rStyle w:val="Hyperlink"/>
            <w:rFonts w:ascii="Times New Roman" w:hAnsi="Times New Roman" w:cs="Times New Roman"/>
            <w:sz w:val="24"/>
            <w:szCs w:val="24"/>
          </w:rPr>
          <w:t>http://enrd.ec.europa.eu/sites/enrd/files/rdp1_full-conference_report.pdf</w:t>
        </w:r>
      </w:hyperlink>
      <w:r>
        <w:rPr>
          <w:rFonts w:ascii="Times New Roman" w:hAnsi="Times New Roman" w:cs="Times New Roman"/>
          <w:sz w:val="24"/>
          <w:szCs w:val="24"/>
        </w:rPr>
        <w:t xml:space="preserve"> Accessed 21 March 2016.</w:t>
      </w:r>
    </w:p>
    <w:p w:rsidR="003545A1" w:rsidRDefault="003545A1"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Falconer, K. and Whitby, M. </w:t>
      </w:r>
      <w:r w:rsidR="00F21E32"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Transactions and administrative costs in Countryside Stewardship policies: an investigation for eight European member states</w:t>
      </w:r>
      <w:r w:rsidR="00DB3649" w:rsidRPr="00CB0B3B">
        <w:rPr>
          <w:rFonts w:ascii="Times New Roman" w:hAnsi="Times New Roman" w:cs="Times New Roman"/>
          <w:sz w:val="24"/>
          <w:szCs w:val="24"/>
        </w:rPr>
        <w:t>.  Centre for Rural Economy Research Report, University of Newcastle upon Tyne</w:t>
      </w:r>
      <w:r w:rsidR="00F21E32" w:rsidRPr="00CB0B3B">
        <w:rPr>
          <w:rFonts w:ascii="Times New Roman" w:hAnsi="Times New Roman" w:cs="Times New Roman"/>
          <w:sz w:val="24"/>
          <w:szCs w:val="24"/>
        </w:rPr>
        <w:t xml:space="preserve"> (1999)</w:t>
      </w:r>
      <w:r w:rsidR="00FE4D54" w:rsidRPr="00CB0B3B">
        <w:rPr>
          <w:rFonts w:ascii="Times New Roman" w:hAnsi="Times New Roman" w:cs="Times New Roman"/>
          <w:sz w:val="24"/>
          <w:szCs w:val="24"/>
        </w:rPr>
        <w:t>.</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Falconer, K. </w:t>
      </w:r>
      <w:r w:rsidR="00F21E32" w:rsidRPr="00CB0B3B">
        <w:rPr>
          <w:rFonts w:ascii="Times New Roman" w:hAnsi="Times New Roman" w:cs="Times New Roman"/>
          <w:sz w:val="24"/>
          <w:szCs w:val="24"/>
        </w:rPr>
        <w:t xml:space="preserve"> ‘</w:t>
      </w:r>
      <w:r w:rsidRPr="00CB0B3B">
        <w:rPr>
          <w:rFonts w:ascii="Times New Roman" w:hAnsi="Times New Roman" w:cs="Times New Roman"/>
          <w:sz w:val="24"/>
          <w:szCs w:val="24"/>
        </w:rPr>
        <w:t>Farm-level constraints on agri-environmental scheme participation: a transactional perspective</w:t>
      </w:r>
      <w:r w:rsidR="00F21E32" w:rsidRPr="00CB0B3B">
        <w:rPr>
          <w:rFonts w:ascii="Times New Roman" w:hAnsi="Times New Roman" w:cs="Times New Roman"/>
          <w:sz w:val="24"/>
          <w:szCs w:val="24"/>
        </w:rPr>
        <w:t>’</w:t>
      </w:r>
      <w:r w:rsidR="0004049A">
        <w:rPr>
          <w:rFonts w:ascii="Times New Roman" w:hAnsi="Times New Roman" w:cs="Times New Roman"/>
          <w:sz w:val="24"/>
          <w:szCs w:val="24"/>
        </w:rPr>
        <w:t>.</w:t>
      </w:r>
      <w:r w:rsidRPr="00CB0B3B">
        <w:rPr>
          <w:rFonts w:ascii="Times New Roman" w:hAnsi="Times New Roman" w:cs="Times New Roman"/>
          <w:sz w:val="24"/>
          <w:szCs w:val="24"/>
        </w:rPr>
        <w:t xml:space="preserve">  </w:t>
      </w:r>
      <w:r w:rsidRPr="00CB0B3B">
        <w:rPr>
          <w:rFonts w:ascii="Times New Roman" w:hAnsi="Times New Roman" w:cs="Times New Roman"/>
          <w:i/>
          <w:sz w:val="24"/>
          <w:szCs w:val="24"/>
        </w:rPr>
        <w:t xml:space="preserve">Journal of </w:t>
      </w:r>
      <w:r w:rsidR="00493FE6" w:rsidRPr="00CB0B3B">
        <w:rPr>
          <w:rFonts w:ascii="Times New Roman" w:hAnsi="Times New Roman" w:cs="Times New Roman"/>
          <w:i/>
          <w:sz w:val="24"/>
          <w:szCs w:val="24"/>
        </w:rPr>
        <w:t>R</w:t>
      </w:r>
      <w:r w:rsidRPr="00CB0B3B">
        <w:rPr>
          <w:rFonts w:ascii="Times New Roman" w:hAnsi="Times New Roman" w:cs="Times New Roman"/>
          <w:i/>
          <w:sz w:val="24"/>
          <w:szCs w:val="24"/>
        </w:rPr>
        <w:t>ural Studies</w:t>
      </w:r>
      <w:r w:rsidRPr="00CB0B3B">
        <w:rPr>
          <w:rFonts w:ascii="Times New Roman" w:hAnsi="Times New Roman" w:cs="Times New Roman"/>
          <w:sz w:val="24"/>
          <w:szCs w:val="24"/>
        </w:rPr>
        <w:t xml:space="preserve">, Vol. 16, </w:t>
      </w:r>
      <w:r w:rsidR="00F21E32" w:rsidRPr="00CB0B3B">
        <w:rPr>
          <w:rFonts w:ascii="Times New Roman" w:hAnsi="Times New Roman" w:cs="Times New Roman"/>
          <w:sz w:val="24"/>
          <w:szCs w:val="24"/>
        </w:rPr>
        <w:t>(2000)</w:t>
      </w:r>
      <w:r w:rsidR="005220FC" w:rsidRPr="00CB0B3B">
        <w:rPr>
          <w:rFonts w:ascii="Times New Roman" w:hAnsi="Times New Roman" w:cs="Times New Roman"/>
          <w:sz w:val="24"/>
          <w:szCs w:val="24"/>
        </w:rPr>
        <w:t xml:space="preserve"> </w:t>
      </w:r>
      <w:r w:rsidR="00F21E32" w:rsidRPr="00CB0B3B">
        <w:rPr>
          <w:rFonts w:ascii="Times New Roman" w:hAnsi="Times New Roman" w:cs="Times New Roman"/>
          <w:sz w:val="24"/>
          <w:szCs w:val="24"/>
        </w:rPr>
        <w:t xml:space="preserve"> </w:t>
      </w:r>
      <w:r w:rsidRPr="00CB0B3B">
        <w:rPr>
          <w:rFonts w:ascii="Times New Roman" w:hAnsi="Times New Roman" w:cs="Times New Roman"/>
          <w:sz w:val="24"/>
          <w:szCs w:val="24"/>
        </w:rPr>
        <w:t>pp.379-394.</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Franks, J. R. </w:t>
      </w:r>
      <w:r w:rsidR="00F21E32" w:rsidRPr="00CB0B3B">
        <w:rPr>
          <w:rFonts w:ascii="Times New Roman" w:hAnsi="Times New Roman" w:cs="Times New Roman"/>
          <w:sz w:val="24"/>
          <w:szCs w:val="24"/>
        </w:rPr>
        <w:t xml:space="preserve"> ‘</w:t>
      </w:r>
      <w:r w:rsidRPr="00CB0B3B">
        <w:rPr>
          <w:rFonts w:ascii="Times New Roman" w:hAnsi="Times New Roman" w:cs="Times New Roman"/>
          <w:sz w:val="24"/>
          <w:szCs w:val="24"/>
        </w:rPr>
        <w:t>The collective provision of environmental goods: a discussion of contractual issues</w:t>
      </w:r>
      <w:r w:rsidR="00F21E32" w:rsidRPr="00CB0B3B">
        <w:rPr>
          <w:rFonts w:ascii="Times New Roman" w:hAnsi="Times New Roman" w:cs="Times New Roman"/>
          <w:sz w:val="24"/>
          <w:szCs w:val="24"/>
        </w:rPr>
        <w:t>’</w:t>
      </w:r>
      <w:r w:rsidRPr="00CB0B3B">
        <w:rPr>
          <w:rFonts w:ascii="Times New Roman" w:hAnsi="Times New Roman" w:cs="Times New Roman"/>
          <w:sz w:val="24"/>
          <w:szCs w:val="24"/>
        </w:rPr>
        <w:t xml:space="preserve">.  </w:t>
      </w:r>
      <w:r w:rsidRPr="00CB0B3B">
        <w:rPr>
          <w:rFonts w:ascii="Times New Roman" w:hAnsi="Times New Roman" w:cs="Times New Roman"/>
          <w:i/>
          <w:sz w:val="24"/>
          <w:szCs w:val="24"/>
        </w:rPr>
        <w:t>Journal of Environmental Planning and Management</w:t>
      </w:r>
      <w:r w:rsidR="00F21E32" w:rsidRPr="00CB0B3B">
        <w:rPr>
          <w:rFonts w:ascii="Times New Roman" w:hAnsi="Times New Roman" w:cs="Times New Roman"/>
          <w:sz w:val="24"/>
          <w:szCs w:val="24"/>
        </w:rPr>
        <w:t>,</w:t>
      </w:r>
      <w:r w:rsidRPr="00CB0B3B">
        <w:rPr>
          <w:rFonts w:ascii="Times New Roman" w:hAnsi="Times New Roman" w:cs="Times New Roman"/>
          <w:sz w:val="24"/>
          <w:szCs w:val="24"/>
        </w:rPr>
        <w:t xml:space="preserve"> Vol.54</w:t>
      </w:r>
      <w:r w:rsidR="00F21E32" w:rsidRPr="00CB0B3B">
        <w:rPr>
          <w:rFonts w:ascii="Times New Roman" w:hAnsi="Times New Roman" w:cs="Times New Roman"/>
          <w:sz w:val="24"/>
          <w:szCs w:val="24"/>
        </w:rPr>
        <w:t>:</w:t>
      </w:r>
      <w:r w:rsidRPr="00CB0B3B">
        <w:rPr>
          <w:rFonts w:ascii="Times New Roman" w:hAnsi="Times New Roman" w:cs="Times New Roman"/>
          <w:sz w:val="24"/>
          <w:szCs w:val="24"/>
        </w:rPr>
        <w:t xml:space="preserve">.5, </w:t>
      </w:r>
      <w:r w:rsidR="00F21E32" w:rsidRPr="00CB0B3B">
        <w:rPr>
          <w:rFonts w:ascii="Times New Roman" w:hAnsi="Times New Roman" w:cs="Times New Roman"/>
          <w:sz w:val="24"/>
          <w:szCs w:val="24"/>
        </w:rPr>
        <w:t xml:space="preserve">(2011) </w:t>
      </w:r>
      <w:r w:rsidRPr="00CB0B3B">
        <w:rPr>
          <w:rFonts w:ascii="Times New Roman" w:hAnsi="Times New Roman" w:cs="Times New Roman"/>
          <w:sz w:val="24"/>
          <w:szCs w:val="24"/>
        </w:rPr>
        <w:t>pp.637-660.</w:t>
      </w:r>
    </w:p>
    <w:p w:rsidR="007350B5" w:rsidRPr="00CB0B3B" w:rsidRDefault="007350B5" w:rsidP="008D745F">
      <w:pPr>
        <w:spacing w:after="0" w:line="360" w:lineRule="auto"/>
        <w:rPr>
          <w:rFonts w:ascii="Times New Roman" w:hAnsi="Times New Roman" w:cs="Times New Roman"/>
          <w:sz w:val="24"/>
          <w:szCs w:val="24"/>
        </w:rPr>
      </w:pPr>
    </w:p>
    <w:p w:rsidR="007350B5" w:rsidRPr="003545A1"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Government of Malta</w:t>
      </w:r>
      <w:r w:rsidR="00F21E32" w:rsidRPr="00CB0B3B">
        <w:rPr>
          <w:rFonts w:ascii="Times New Roman" w:hAnsi="Times New Roman" w:cs="Times New Roman"/>
          <w:sz w:val="24"/>
          <w:szCs w:val="24"/>
        </w:rPr>
        <w:t>.</w:t>
      </w:r>
      <w:r w:rsidRPr="00CB0B3B">
        <w:rPr>
          <w:rFonts w:ascii="Times New Roman" w:hAnsi="Times New Roman" w:cs="Times New Roman"/>
          <w:sz w:val="24"/>
          <w:szCs w:val="24"/>
        </w:rPr>
        <w:t xml:space="preserve"> </w:t>
      </w:r>
      <w:r w:rsidR="00F21E32"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Partnership Agreement</w:t>
      </w:r>
      <w:r w:rsidRPr="00CB0B3B">
        <w:rPr>
          <w:rFonts w:ascii="Times New Roman" w:hAnsi="Times New Roman" w:cs="Times New Roman"/>
          <w:sz w:val="24"/>
          <w:szCs w:val="24"/>
        </w:rPr>
        <w:t>.</w:t>
      </w:r>
      <w:r w:rsidR="00F21E32" w:rsidRPr="00CB0B3B">
        <w:rPr>
          <w:rFonts w:ascii="Times New Roman" w:hAnsi="Times New Roman" w:cs="Times New Roman"/>
          <w:sz w:val="24"/>
          <w:szCs w:val="24"/>
        </w:rPr>
        <w:t xml:space="preserve">  </w:t>
      </w:r>
      <w:r w:rsidRPr="00CB0B3B">
        <w:rPr>
          <w:rFonts w:ascii="Times New Roman" w:hAnsi="Times New Roman" w:cs="Times New Roman"/>
          <w:sz w:val="24"/>
          <w:szCs w:val="24"/>
        </w:rPr>
        <w:t xml:space="preserve">Published online by the European Commission at: </w:t>
      </w:r>
      <w:hyperlink r:id="rId18" w:history="1">
        <w:r w:rsidR="00B3621C" w:rsidRPr="00CB0B3B">
          <w:rPr>
            <w:rStyle w:val="Hyperlink"/>
            <w:rFonts w:ascii="Times New Roman" w:hAnsi="Times New Roman" w:cs="Times New Roman"/>
            <w:sz w:val="24"/>
            <w:szCs w:val="24"/>
          </w:rPr>
          <w:t>www.ec.europa.eu</w:t>
        </w:r>
      </w:hyperlink>
      <w:r w:rsidR="00613157" w:rsidRPr="00CB0B3B">
        <w:rPr>
          <w:rStyle w:val="Hyperlink"/>
          <w:rFonts w:ascii="Times New Roman" w:hAnsi="Times New Roman" w:cs="Times New Roman"/>
          <w:sz w:val="24"/>
          <w:szCs w:val="24"/>
        </w:rPr>
        <w:t xml:space="preserve"> (2014)</w:t>
      </w:r>
      <w:r w:rsidR="003545A1">
        <w:rPr>
          <w:rStyle w:val="Hyperlink"/>
          <w:rFonts w:ascii="Times New Roman" w:hAnsi="Times New Roman" w:cs="Times New Roman"/>
          <w:sz w:val="24"/>
          <w:szCs w:val="24"/>
        </w:rPr>
        <w:t xml:space="preserve">. </w:t>
      </w:r>
      <w:r w:rsidR="003545A1">
        <w:rPr>
          <w:rStyle w:val="Hyperlink"/>
          <w:rFonts w:ascii="Times New Roman" w:hAnsi="Times New Roman" w:cs="Times New Roman"/>
          <w:color w:val="auto"/>
          <w:sz w:val="24"/>
          <w:szCs w:val="24"/>
          <w:u w:val="none"/>
        </w:rPr>
        <w:t>Commission of the European Communities, Brussels.</w:t>
      </w:r>
    </w:p>
    <w:p w:rsidR="00B3621C" w:rsidRPr="00CB0B3B" w:rsidRDefault="00B3621C"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Hicks, J. (1935)</w:t>
      </w:r>
      <w:r w:rsidR="00CC6C95" w:rsidRPr="00CB0B3B">
        <w:rPr>
          <w:rFonts w:ascii="Times New Roman" w:hAnsi="Times New Roman" w:cs="Times New Roman"/>
          <w:sz w:val="24"/>
          <w:szCs w:val="24"/>
        </w:rPr>
        <w:t xml:space="preserve"> </w:t>
      </w:r>
      <w:r w:rsidR="00F21E32" w:rsidRPr="00CB0B3B">
        <w:rPr>
          <w:rFonts w:ascii="Times New Roman" w:hAnsi="Times New Roman" w:cs="Times New Roman"/>
          <w:sz w:val="24"/>
          <w:szCs w:val="24"/>
        </w:rPr>
        <w:t>‘</w:t>
      </w:r>
      <w:r w:rsidR="00CC6C95" w:rsidRPr="00CB0B3B">
        <w:rPr>
          <w:rFonts w:ascii="Times New Roman" w:hAnsi="Times New Roman" w:cs="Times New Roman"/>
          <w:sz w:val="24"/>
          <w:szCs w:val="24"/>
        </w:rPr>
        <w:t>A Suggestion for Simplifying the Theory of Money</w:t>
      </w:r>
      <w:r w:rsidR="00F21E32" w:rsidRPr="00CB0B3B">
        <w:rPr>
          <w:rFonts w:ascii="Times New Roman" w:hAnsi="Times New Roman" w:cs="Times New Roman"/>
          <w:sz w:val="24"/>
          <w:szCs w:val="24"/>
        </w:rPr>
        <w:t>’</w:t>
      </w:r>
      <w:r w:rsidR="00CC6C95" w:rsidRPr="00CB0B3B">
        <w:rPr>
          <w:rFonts w:ascii="Times New Roman" w:hAnsi="Times New Roman" w:cs="Times New Roman"/>
          <w:sz w:val="24"/>
          <w:szCs w:val="24"/>
        </w:rPr>
        <w:t>.</w:t>
      </w:r>
      <w:r w:rsidR="00F21E32" w:rsidRPr="00CB0B3B">
        <w:rPr>
          <w:rFonts w:ascii="Times New Roman" w:hAnsi="Times New Roman" w:cs="Times New Roman"/>
          <w:sz w:val="24"/>
          <w:szCs w:val="24"/>
        </w:rPr>
        <w:t xml:space="preserve"> </w:t>
      </w:r>
      <w:r w:rsidR="00CC6C95" w:rsidRPr="00CB0B3B">
        <w:rPr>
          <w:rFonts w:ascii="Times New Roman" w:hAnsi="Times New Roman" w:cs="Times New Roman"/>
          <w:sz w:val="24"/>
          <w:szCs w:val="24"/>
        </w:rPr>
        <w:t xml:space="preserve"> </w:t>
      </w:r>
      <w:r w:rsidR="00CC6C95" w:rsidRPr="00CB0B3B">
        <w:rPr>
          <w:rFonts w:ascii="Times New Roman" w:hAnsi="Times New Roman" w:cs="Times New Roman"/>
          <w:i/>
          <w:sz w:val="24"/>
          <w:szCs w:val="24"/>
        </w:rPr>
        <w:t>Economica</w:t>
      </w:r>
      <w:r w:rsidR="00F21E32" w:rsidRPr="00CB0B3B">
        <w:rPr>
          <w:rFonts w:ascii="Times New Roman" w:hAnsi="Times New Roman" w:cs="Times New Roman"/>
          <w:i/>
          <w:sz w:val="24"/>
          <w:szCs w:val="24"/>
        </w:rPr>
        <w:t>,</w:t>
      </w:r>
      <w:r w:rsidR="00CC6C95" w:rsidRPr="00CB0B3B">
        <w:rPr>
          <w:rFonts w:ascii="Times New Roman" w:hAnsi="Times New Roman" w:cs="Times New Roman"/>
          <w:sz w:val="24"/>
          <w:szCs w:val="24"/>
        </w:rPr>
        <w:t xml:space="preserve"> Vol 2</w:t>
      </w:r>
      <w:r w:rsidR="00F21E32" w:rsidRPr="00CB0B3B">
        <w:rPr>
          <w:rFonts w:ascii="Times New Roman" w:hAnsi="Times New Roman" w:cs="Times New Roman"/>
          <w:sz w:val="24"/>
          <w:szCs w:val="24"/>
        </w:rPr>
        <w:t>, (1935)</w:t>
      </w:r>
      <w:r w:rsidR="005220FC" w:rsidRPr="00CB0B3B">
        <w:rPr>
          <w:rFonts w:ascii="Times New Roman" w:hAnsi="Times New Roman" w:cs="Times New Roman"/>
          <w:sz w:val="24"/>
          <w:szCs w:val="24"/>
        </w:rPr>
        <w:t xml:space="preserve"> </w:t>
      </w:r>
      <w:r w:rsidR="00F21E32" w:rsidRPr="00CB0B3B">
        <w:rPr>
          <w:rFonts w:ascii="Times New Roman" w:hAnsi="Times New Roman" w:cs="Times New Roman"/>
          <w:sz w:val="24"/>
          <w:szCs w:val="24"/>
        </w:rPr>
        <w:t xml:space="preserve"> pp.</w:t>
      </w:r>
      <w:r w:rsidR="00CC6C95" w:rsidRPr="00CB0B3B">
        <w:rPr>
          <w:rFonts w:ascii="Times New Roman" w:hAnsi="Times New Roman" w:cs="Times New Roman"/>
          <w:sz w:val="24"/>
          <w:szCs w:val="24"/>
        </w:rPr>
        <w:t xml:space="preserve"> 1-19</w:t>
      </w:r>
      <w:r w:rsidR="00F21E32" w:rsidRPr="00CB0B3B">
        <w:rPr>
          <w:rFonts w:ascii="Times New Roman" w:hAnsi="Times New Roman" w:cs="Times New Roman"/>
          <w:sz w:val="24"/>
          <w:szCs w:val="24"/>
        </w:rPr>
        <w:t>.</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Mantino, F. </w:t>
      </w:r>
      <w:r w:rsidR="00F21E32" w:rsidRPr="00CB0B3B">
        <w:rPr>
          <w:rFonts w:ascii="Times New Roman" w:hAnsi="Times New Roman" w:cs="Times New Roman"/>
          <w:sz w:val="24"/>
          <w:szCs w:val="24"/>
        </w:rPr>
        <w:t>‘</w:t>
      </w:r>
      <w:r w:rsidR="005225B7" w:rsidRPr="00CB0B3B">
        <w:rPr>
          <w:rFonts w:ascii="Times New Roman" w:hAnsi="Times New Roman" w:cs="Times New Roman"/>
          <w:sz w:val="24"/>
          <w:szCs w:val="24"/>
        </w:rPr>
        <w:t xml:space="preserve">What is going to change in EU rural development policies after 2013? </w:t>
      </w:r>
      <w:r w:rsidR="00B3621C" w:rsidRPr="00CB0B3B">
        <w:rPr>
          <w:rFonts w:ascii="Times New Roman" w:hAnsi="Times New Roman" w:cs="Times New Roman"/>
          <w:sz w:val="24"/>
          <w:szCs w:val="24"/>
        </w:rPr>
        <w:t xml:space="preserve"> </w:t>
      </w:r>
      <w:r w:rsidR="005225B7" w:rsidRPr="00CB0B3B">
        <w:rPr>
          <w:rFonts w:ascii="Times New Roman" w:hAnsi="Times New Roman" w:cs="Times New Roman"/>
          <w:sz w:val="24"/>
          <w:szCs w:val="24"/>
        </w:rPr>
        <w:t>Main implications in different national contexts</w:t>
      </w:r>
      <w:r w:rsidR="002F2111" w:rsidRPr="00CB0B3B">
        <w:rPr>
          <w:rFonts w:ascii="Times New Roman" w:hAnsi="Times New Roman" w:cs="Times New Roman"/>
          <w:sz w:val="24"/>
          <w:szCs w:val="24"/>
        </w:rPr>
        <w:t>’</w:t>
      </w:r>
      <w:r w:rsidR="005225B7" w:rsidRPr="00CB0B3B">
        <w:rPr>
          <w:rFonts w:ascii="Times New Roman" w:hAnsi="Times New Roman" w:cs="Times New Roman"/>
          <w:sz w:val="24"/>
          <w:szCs w:val="24"/>
        </w:rPr>
        <w:t xml:space="preserve">. </w:t>
      </w:r>
      <w:r w:rsidR="0004049A">
        <w:rPr>
          <w:rFonts w:ascii="Times New Roman" w:hAnsi="Times New Roman" w:cs="Times New Roman"/>
          <w:sz w:val="24"/>
          <w:szCs w:val="24"/>
        </w:rPr>
        <w:t xml:space="preserve"> </w:t>
      </w:r>
      <w:r w:rsidRPr="00CB0B3B">
        <w:rPr>
          <w:rFonts w:ascii="Times New Roman" w:hAnsi="Times New Roman" w:cs="Times New Roman"/>
          <w:i/>
          <w:sz w:val="24"/>
          <w:szCs w:val="24"/>
        </w:rPr>
        <w:t>B</w:t>
      </w:r>
      <w:r w:rsidR="00C21347" w:rsidRPr="00CB0B3B">
        <w:rPr>
          <w:rFonts w:ascii="Times New Roman" w:hAnsi="Times New Roman" w:cs="Times New Roman"/>
          <w:i/>
          <w:sz w:val="24"/>
          <w:szCs w:val="24"/>
        </w:rPr>
        <w:t>io-B</w:t>
      </w:r>
      <w:r w:rsidR="005225B7" w:rsidRPr="00CB0B3B">
        <w:rPr>
          <w:rFonts w:ascii="Times New Roman" w:hAnsi="Times New Roman" w:cs="Times New Roman"/>
          <w:i/>
          <w:sz w:val="24"/>
          <w:szCs w:val="24"/>
        </w:rPr>
        <w:t xml:space="preserve">ased and </w:t>
      </w:r>
      <w:r w:rsidRPr="00CB0B3B">
        <w:rPr>
          <w:rFonts w:ascii="Times New Roman" w:hAnsi="Times New Roman" w:cs="Times New Roman"/>
          <w:i/>
          <w:sz w:val="24"/>
          <w:szCs w:val="24"/>
        </w:rPr>
        <w:t>A</w:t>
      </w:r>
      <w:r w:rsidR="005225B7" w:rsidRPr="00CB0B3B">
        <w:rPr>
          <w:rFonts w:ascii="Times New Roman" w:hAnsi="Times New Roman" w:cs="Times New Roman"/>
          <w:i/>
          <w:sz w:val="24"/>
          <w:szCs w:val="24"/>
        </w:rPr>
        <w:t xml:space="preserve">pplied </w:t>
      </w:r>
      <w:r w:rsidRPr="00CB0B3B">
        <w:rPr>
          <w:rFonts w:ascii="Times New Roman" w:hAnsi="Times New Roman" w:cs="Times New Roman"/>
          <w:i/>
          <w:sz w:val="24"/>
          <w:szCs w:val="24"/>
        </w:rPr>
        <w:t>E</w:t>
      </w:r>
      <w:r w:rsidR="005225B7" w:rsidRPr="00CB0B3B">
        <w:rPr>
          <w:rFonts w:ascii="Times New Roman" w:hAnsi="Times New Roman" w:cs="Times New Roman"/>
          <w:i/>
          <w:sz w:val="24"/>
          <w:szCs w:val="24"/>
        </w:rPr>
        <w:t>conomics</w:t>
      </w:r>
      <w:r w:rsidR="005225B7" w:rsidRPr="00CB0B3B">
        <w:rPr>
          <w:rFonts w:ascii="Times New Roman" w:hAnsi="Times New Roman" w:cs="Times New Roman"/>
          <w:sz w:val="24"/>
          <w:szCs w:val="24"/>
        </w:rPr>
        <w:t xml:space="preserve">, </w:t>
      </w:r>
      <w:r w:rsidR="00C21347" w:rsidRPr="00CB0B3B">
        <w:rPr>
          <w:rFonts w:ascii="Times New Roman" w:hAnsi="Times New Roman" w:cs="Times New Roman"/>
          <w:sz w:val="24"/>
          <w:szCs w:val="24"/>
        </w:rPr>
        <w:t>Vol. 2</w:t>
      </w:r>
      <w:r w:rsidR="002F2111" w:rsidRPr="00CB0B3B">
        <w:rPr>
          <w:rFonts w:ascii="Times New Roman" w:hAnsi="Times New Roman" w:cs="Times New Roman"/>
          <w:sz w:val="24"/>
          <w:szCs w:val="24"/>
        </w:rPr>
        <w:t xml:space="preserve">, </w:t>
      </w:r>
      <w:r w:rsidR="00F21E32" w:rsidRPr="00CB0B3B">
        <w:rPr>
          <w:rFonts w:ascii="Times New Roman" w:hAnsi="Times New Roman" w:cs="Times New Roman"/>
          <w:sz w:val="24"/>
          <w:szCs w:val="24"/>
        </w:rPr>
        <w:t>(2013) p</w:t>
      </w:r>
      <w:r w:rsidR="00C21347" w:rsidRPr="00CB0B3B">
        <w:rPr>
          <w:rFonts w:ascii="Times New Roman" w:hAnsi="Times New Roman" w:cs="Times New Roman"/>
          <w:sz w:val="24"/>
          <w:szCs w:val="24"/>
        </w:rPr>
        <w:t>p</w:t>
      </w:r>
      <w:r w:rsidR="00F21E32" w:rsidRPr="00CB0B3B">
        <w:rPr>
          <w:rFonts w:ascii="Times New Roman" w:hAnsi="Times New Roman" w:cs="Times New Roman"/>
          <w:sz w:val="24"/>
          <w:szCs w:val="24"/>
        </w:rPr>
        <w:t>.</w:t>
      </w:r>
      <w:r w:rsidR="00C21347" w:rsidRPr="00CB0B3B">
        <w:rPr>
          <w:rFonts w:ascii="Times New Roman" w:hAnsi="Times New Roman" w:cs="Times New Roman"/>
          <w:sz w:val="24"/>
          <w:szCs w:val="24"/>
        </w:rPr>
        <w:t>191-206.</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lastRenderedPageBreak/>
        <w:t>Mettepenningen, E.,</w:t>
      </w:r>
      <w:r w:rsidR="00B2710E" w:rsidRPr="00CB0B3B">
        <w:rPr>
          <w:rFonts w:ascii="Times New Roman" w:hAnsi="Times New Roman" w:cs="Times New Roman"/>
          <w:sz w:val="24"/>
          <w:szCs w:val="24"/>
        </w:rPr>
        <w:t xml:space="preserve"> </w:t>
      </w:r>
      <w:r w:rsidRPr="00CB0B3B">
        <w:rPr>
          <w:rFonts w:ascii="Times New Roman" w:hAnsi="Times New Roman" w:cs="Times New Roman"/>
          <w:sz w:val="24"/>
          <w:szCs w:val="24"/>
        </w:rPr>
        <w:t xml:space="preserve">Beckmann, V., and J. Eggers.    </w:t>
      </w:r>
      <w:r w:rsidR="002F2111" w:rsidRPr="00CB0B3B">
        <w:rPr>
          <w:rFonts w:ascii="Times New Roman" w:hAnsi="Times New Roman" w:cs="Times New Roman"/>
          <w:sz w:val="24"/>
          <w:szCs w:val="24"/>
        </w:rPr>
        <w:t>‘</w:t>
      </w:r>
      <w:r w:rsidRPr="00CB0B3B">
        <w:rPr>
          <w:rFonts w:ascii="Times New Roman" w:hAnsi="Times New Roman" w:cs="Times New Roman"/>
          <w:sz w:val="24"/>
          <w:szCs w:val="24"/>
        </w:rPr>
        <w:t>Public transaction costs of agri-environmental schemes and their determinants – analysing stakeholders’ involvement and perceptions</w:t>
      </w:r>
      <w:r w:rsidR="002F2111" w:rsidRPr="00CB0B3B">
        <w:rPr>
          <w:rFonts w:ascii="Times New Roman" w:hAnsi="Times New Roman" w:cs="Times New Roman"/>
          <w:sz w:val="24"/>
          <w:szCs w:val="24"/>
        </w:rPr>
        <w:t>’</w:t>
      </w:r>
      <w:r w:rsidRPr="00CB0B3B">
        <w:rPr>
          <w:rFonts w:ascii="Times New Roman" w:hAnsi="Times New Roman" w:cs="Times New Roman"/>
          <w:sz w:val="24"/>
          <w:szCs w:val="24"/>
        </w:rPr>
        <w:t xml:space="preserve">.  </w:t>
      </w:r>
      <w:r w:rsidRPr="00CB0B3B">
        <w:rPr>
          <w:rFonts w:ascii="Times New Roman" w:hAnsi="Times New Roman" w:cs="Times New Roman"/>
          <w:i/>
          <w:sz w:val="24"/>
          <w:szCs w:val="24"/>
        </w:rPr>
        <w:t>Ecological Economics,</w:t>
      </w:r>
      <w:r w:rsidRPr="00CB0B3B">
        <w:rPr>
          <w:rFonts w:ascii="Times New Roman" w:hAnsi="Times New Roman" w:cs="Times New Roman"/>
          <w:sz w:val="24"/>
          <w:szCs w:val="24"/>
        </w:rPr>
        <w:t xml:space="preserve"> Vol.70, </w:t>
      </w:r>
      <w:r w:rsidR="002F2111" w:rsidRPr="00CB0B3B">
        <w:rPr>
          <w:rFonts w:ascii="Times New Roman" w:hAnsi="Times New Roman" w:cs="Times New Roman"/>
          <w:sz w:val="24"/>
          <w:szCs w:val="24"/>
        </w:rPr>
        <w:t>(2011) p</w:t>
      </w:r>
      <w:r w:rsidRPr="00CB0B3B">
        <w:rPr>
          <w:rFonts w:ascii="Times New Roman" w:hAnsi="Times New Roman" w:cs="Times New Roman"/>
          <w:sz w:val="24"/>
          <w:szCs w:val="24"/>
        </w:rPr>
        <w:t xml:space="preserve">p.641-650. </w:t>
      </w:r>
    </w:p>
    <w:p w:rsidR="007350B5" w:rsidRPr="00CB0B3B" w:rsidRDefault="007350B5" w:rsidP="008D745F">
      <w:pPr>
        <w:spacing w:after="0" w:line="360" w:lineRule="auto"/>
        <w:rPr>
          <w:rFonts w:ascii="Times New Roman" w:hAnsi="Times New Roman" w:cs="Times New Roman"/>
          <w:sz w:val="24"/>
          <w:szCs w:val="24"/>
        </w:rPr>
      </w:pPr>
    </w:p>
    <w:p w:rsidR="00053D75" w:rsidRPr="00CB0B3B" w:rsidRDefault="00053D75" w:rsidP="008D745F">
      <w:pPr>
        <w:spacing w:after="0" w:line="360" w:lineRule="auto"/>
        <w:rPr>
          <w:rFonts w:ascii="Times New Roman" w:hAnsi="Times New Roman" w:cs="Times New Roman"/>
          <w:i/>
          <w:sz w:val="24"/>
          <w:szCs w:val="24"/>
        </w:rPr>
      </w:pPr>
      <w:r w:rsidRPr="00CB0B3B">
        <w:rPr>
          <w:rFonts w:ascii="Times New Roman" w:hAnsi="Times New Roman" w:cs="Times New Roman"/>
          <w:sz w:val="24"/>
          <w:szCs w:val="24"/>
        </w:rPr>
        <w:t xml:space="preserve">Moseley, M., Derounian, J., and Lewis, N.  </w:t>
      </w:r>
      <w:r w:rsidR="00171FE3" w:rsidRPr="00CB0B3B">
        <w:rPr>
          <w:rFonts w:ascii="Times New Roman" w:hAnsi="Times New Roman" w:cs="Times New Roman"/>
          <w:i/>
          <w:sz w:val="24"/>
          <w:szCs w:val="24"/>
        </w:rPr>
        <w:t>Rural Community Development Policy and</w:t>
      </w:r>
    </w:p>
    <w:p w:rsidR="007350B5" w:rsidRPr="00CB0B3B" w:rsidRDefault="00171FE3" w:rsidP="008D745F">
      <w:pPr>
        <w:spacing w:after="0" w:line="360" w:lineRule="auto"/>
        <w:rPr>
          <w:rFonts w:ascii="Times New Roman" w:hAnsi="Times New Roman" w:cs="Times New Roman"/>
          <w:sz w:val="24"/>
          <w:szCs w:val="24"/>
        </w:rPr>
      </w:pPr>
      <w:r w:rsidRPr="00CB0B3B">
        <w:rPr>
          <w:rFonts w:ascii="Times New Roman" w:hAnsi="Times New Roman" w:cs="Times New Roman"/>
          <w:i/>
          <w:sz w:val="24"/>
          <w:szCs w:val="24"/>
        </w:rPr>
        <w:t>Funding in the UK and Ireland</w:t>
      </w:r>
      <w:r w:rsidR="002F2111" w:rsidRPr="00CB0B3B">
        <w:rPr>
          <w:rFonts w:ascii="Times New Roman" w:hAnsi="Times New Roman" w:cs="Times New Roman"/>
          <w:sz w:val="24"/>
          <w:szCs w:val="24"/>
        </w:rPr>
        <w:t xml:space="preserve">.  </w:t>
      </w:r>
      <w:r w:rsidR="00053D75" w:rsidRPr="00CB0B3B">
        <w:rPr>
          <w:rFonts w:ascii="Times New Roman" w:hAnsi="Times New Roman" w:cs="Times New Roman"/>
          <w:sz w:val="24"/>
          <w:szCs w:val="24"/>
        </w:rPr>
        <w:t>Scoping Paper for the Carnegie UK Trust</w:t>
      </w:r>
      <w:r w:rsidR="003545A1">
        <w:rPr>
          <w:rFonts w:ascii="Times New Roman" w:hAnsi="Times New Roman" w:cs="Times New Roman"/>
          <w:sz w:val="24"/>
          <w:szCs w:val="24"/>
        </w:rPr>
        <w:t>,</w:t>
      </w:r>
      <w:r w:rsidR="002F2111" w:rsidRPr="00CB0B3B">
        <w:rPr>
          <w:rFonts w:ascii="Times New Roman" w:hAnsi="Times New Roman" w:cs="Times New Roman"/>
          <w:sz w:val="24"/>
          <w:szCs w:val="24"/>
        </w:rPr>
        <w:t xml:space="preserve"> </w:t>
      </w:r>
      <w:r w:rsidR="00053D75" w:rsidRPr="00CB0B3B">
        <w:rPr>
          <w:rFonts w:ascii="Times New Roman" w:hAnsi="Times New Roman" w:cs="Times New Roman"/>
          <w:sz w:val="24"/>
          <w:szCs w:val="24"/>
        </w:rPr>
        <w:t>Countryside and Com</w:t>
      </w:r>
      <w:r w:rsidR="003545A1">
        <w:rPr>
          <w:rFonts w:ascii="Times New Roman" w:hAnsi="Times New Roman" w:cs="Times New Roman"/>
          <w:sz w:val="24"/>
          <w:szCs w:val="24"/>
        </w:rPr>
        <w:t>munity Research Unit</w:t>
      </w:r>
      <w:r w:rsidR="00613157" w:rsidRPr="00CB0B3B">
        <w:rPr>
          <w:rFonts w:ascii="Times New Roman" w:hAnsi="Times New Roman" w:cs="Times New Roman"/>
          <w:sz w:val="24"/>
          <w:szCs w:val="24"/>
        </w:rPr>
        <w:t xml:space="preserve"> (2004)</w:t>
      </w:r>
      <w:r w:rsidR="003545A1">
        <w:rPr>
          <w:rFonts w:ascii="Times New Roman" w:hAnsi="Times New Roman" w:cs="Times New Roman"/>
          <w:sz w:val="24"/>
          <w:szCs w:val="24"/>
        </w:rPr>
        <w:t>. CCRI,</w:t>
      </w:r>
      <w:r w:rsidR="00E4170D">
        <w:rPr>
          <w:rFonts w:ascii="Times New Roman" w:hAnsi="Times New Roman" w:cs="Times New Roman"/>
          <w:sz w:val="24"/>
          <w:szCs w:val="24"/>
        </w:rPr>
        <w:t xml:space="preserve"> University of Gloucestershire,</w:t>
      </w:r>
      <w:r w:rsidR="003545A1">
        <w:rPr>
          <w:rFonts w:ascii="Times New Roman" w:hAnsi="Times New Roman" w:cs="Times New Roman"/>
          <w:sz w:val="24"/>
          <w:szCs w:val="24"/>
        </w:rPr>
        <w:t xml:space="preserve"> </w:t>
      </w:r>
      <w:r w:rsidR="00E4170D">
        <w:rPr>
          <w:rFonts w:ascii="Times New Roman" w:hAnsi="Times New Roman" w:cs="Times New Roman"/>
          <w:sz w:val="24"/>
          <w:szCs w:val="24"/>
        </w:rPr>
        <w:t>Gloucester</w:t>
      </w:r>
      <w:r w:rsidR="003545A1">
        <w:rPr>
          <w:rFonts w:ascii="Times New Roman" w:hAnsi="Times New Roman" w:cs="Times New Roman"/>
          <w:sz w:val="24"/>
          <w:szCs w:val="24"/>
        </w:rPr>
        <w:t>.</w:t>
      </w:r>
    </w:p>
    <w:p w:rsidR="005173A5" w:rsidRPr="00CB0B3B" w:rsidRDefault="005173A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Musole</w:t>
      </w:r>
      <w:r w:rsidR="00FA385E" w:rsidRPr="00CB0B3B">
        <w:rPr>
          <w:rFonts w:ascii="Times New Roman" w:hAnsi="Times New Roman" w:cs="Times New Roman"/>
          <w:sz w:val="24"/>
          <w:szCs w:val="24"/>
        </w:rPr>
        <w:t>, M.</w:t>
      </w:r>
      <w:r w:rsidR="00976970" w:rsidRPr="00CB0B3B">
        <w:rPr>
          <w:rFonts w:ascii="Times New Roman" w:hAnsi="Times New Roman" w:cs="Times New Roman"/>
          <w:sz w:val="24"/>
          <w:szCs w:val="24"/>
        </w:rPr>
        <w:t xml:space="preserve"> </w:t>
      </w:r>
      <w:r w:rsidR="002F2111" w:rsidRPr="00CB0B3B">
        <w:rPr>
          <w:rFonts w:ascii="Times New Roman" w:hAnsi="Times New Roman" w:cs="Times New Roman"/>
          <w:sz w:val="24"/>
          <w:szCs w:val="24"/>
        </w:rPr>
        <w:t>‘</w:t>
      </w:r>
      <w:r w:rsidRPr="00CB0B3B">
        <w:rPr>
          <w:rFonts w:ascii="Times New Roman" w:hAnsi="Times New Roman" w:cs="Times New Roman"/>
          <w:sz w:val="24"/>
          <w:szCs w:val="24"/>
        </w:rPr>
        <w:t>Property rights, transaction costs and institutional change: conceptual framework and literature review</w:t>
      </w:r>
      <w:r w:rsidR="002F2111" w:rsidRPr="00CB0B3B">
        <w:rPr>
          <w:rFonts w:ascii="Times New Roman" w:hAnsi="Times New Roman" w:cs="Times New Roman"/>
          <w:sz w:val="24"/>
          <w:szCs w:val="24"/>
        </w:rPr>
        <w:t>’</w:t>
      </w:r>
      <w:r w:rsidRPr="00CB0B3B">
        <w:rPr>
          <w:rFonts w:ascii="Times New Roman" w:hAnsi="Times New Roman" w:cs="Times New Roman"/>
          <w:sz w:val="24"/>
          <w:szCs w:val="24"/>
        </w:rPr>
        <w:t xml:space="preserve">.  </w:t>
      </w:r>
      <w:r w:rsidRPr="00CB0B3B">
        <w:rPr>
          <w:rFonts w:ascii="Times New Roman" w:hAnsi="Times New Roman" w:cs="Times New Roman"/>
          <w:i/>
          <w:sz w:val="24"/>
          <w:szCs w:val="24"/>
        </w:rPr>
        <w:t>Progress in Planning</w:t>
      </w:r>
      <w:r w:rsidRPr="00CB0B3B">
        <w:rPr>
          <w:rFonts w:ascii="Times New Roman" w:hAnsi="Times New Roman" w:cs="Times New Roman"/>
          <w:sz w:val="24"/>
          <w:szCs w:val="24"/>
        </w:rPr>
        <w:t xml:space="preserve">, </w:t>
      </w:r>
      <w:r w:rsidR="005220FC" w:rsidRPr="00CB0B3B">
        <w:rPr>
          <w:rFonts w:ascii="Times New Roman" w:hAnsi="Times New Roman" w:cs="Times New Roman"/>
          <w:sz w:val="24"/>
          <w:szCs w:val="24"/>
        </w:rPr>
        <w:t>V</w:t>
      </w:r>
      <w:r w:rsidRPr="00CB0B3B">
        <w:rPr>
          <w:rFonts w:ascii="Times New Roman" w:hAnsi="Times New Roman" w:cs="Times New Roman"/>
          <w:sz w:val="24"/>
          <w:szCs w:val="24"/>
        </w:rPr>
        <w:t>ol.71,</w:t>
      </w:r>
      <w:r w:rsidR="00B2710E" w:rsidRPr="00CB0B3B">
        <w:rPr>
          <w:rFonts w:ascii="Times New Roman" w:hAnsi="Times New Roman" w:cs="Times New Roman"/>
          <w:sz w:val="24"/>
          <w:szCs w:val="24"/>
        </w:rPr>
        <w:t xml:space="preserve"> </w:t>
      </w:r>
      <w:r w:rsidR="002F2111" w:rsidRPr="00CB0B3B">
        <w:rPr>
          <w:rFonts w:ascii="Times New Roman" w:hAnsi="Times New Roman" w:cs="Times New Roman"/>
          <w:sz w:val="24"/>
          <w:szCs w:val="24"/>
        </w:rPr>
        <w:t xml:space="preserve">(2009) </w:t>
      </w:r>
      <w:r w:rsidRPr="00CB0B3B">
        <w:rPr>
          <w:rFonts w:ascii="Times New Roman" w:hAnsi="Times New Roman" w:cs="Times New Roman"/>
          <w:sz w:val="24"/>
          <w:szCs w:val="24"/>
        </w:rPr>
        <w:t xml:space="preserve"> pp.43-85.</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597338"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National Counc</w:t>
      </w:r>
      <w:r w:rsidR="00FA385E" w:rsidRPr="00CB0B3B">
        <w:rPr>
          <w:rFonts w:ascii="Times New Roman" w:hAnsi="Times New Roman" w:cs="Times New Roman"/>
          <w:sz w:val="24"/>
          <w:szCs w:val="24"/>
        </w:rPr>
        <w:t xml:space="preserve">il for Voluntary Organisations. </w:t>
      </w:r>
      <w:r w:rsidRPr="00CB0B3B">
        <w:rPr>
          <w:rFonts w:ascii="Times New Roman" w:hAnsi="Times New Roman" w:cs="Times New Roman"/>
          <w:sz w:val="24"/>
          <w:szCs w:val="24"/>
        </w:rPr>
        <w:t xml:space="preserve"> </w:t>
      </w:r>
      <w:r w:rsidR="00FA385E" w:rsidRPr="00CB0B3B">
        <w:rPr>
          <w:rFonts w:ascii="Times New Roman" w:hAnsi="Times New Roman" w:cs="Times New Roman"/>
          <w:sz w:val="24"/>
          <w:szCs w:val="24"/>
        </w:rPr>
        <w:t>‘</w:t>
      </w:r>
      <w:r w:rsidRPr="00CB0B3B">
        <w:rPr>
          <w:rFonts w:ascii="Times New Roman" w:hAnsi="Times New Roman" w:cs="Times New Roman"/>
          <w:sz w:val="24"/>
          <w:szCs w:val="24"/>
        </w:rPr>
        <w:t>A Little bit of Give and Take: Voluntary Sector Accountability within cross-sectoral partnerships</w:t>
      </w:r>
      <w:r w:rsidR="00FA385E" w:rsidRPr="00CB0B3B">
        <w:rPr>
          <w:rFonts w:ascii="Times New Roman" w:hAnsi="Times New Roman" w:cs="Times New Roman"/>
          <w:sz w:val="24"/>
          <w:szCs w:val="24"/>
        </w:rPr>
        <w:t>’</w:t>
      </w:r>
      <w:r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Perspectives on Public Policy</w:t>
      </w:r>
      <w:r w:rsidRPr="00CB0B3B">
        <w:rPr>
          <w:rFonts w:ascii="Times New Roman" w:hAnsi="Times New Roman" w:cs="Times New Roman"/>
          <w:sz w:val="24"/>
          <w:szCs w:val="24"/>
        </w:rPr>
        <w:t xml:space="preserve">. </w:t>
      </w:r>
      <w:r w:rsidR="00FA385E" w:rsidRPr="00CB0B3B">
        <w:rPr>
          <w:rFonts w:ascii="Times New Roman" w:hAnsi="Times New Roman" w:cs="Times New Roman"/>
          <w:sz w:val="24"/>
          <w:szCs w:val="24"/>
        </w:rPr>
        <w:t xml:space="preserve">(2004) </w:t>
      </w:r>
      <w:r w:rsidRPr="00CB0B3B">
        <w:rPr>
          <w:rFonts w:ascii="Times New Roman" w:hAnsi="Times New Roman" w:cs="Times New Roman"/>
          <w:sz w:val="24"/>
          <w:szCs w:val="24"/>
        </w:rPr>
        <w:t>NCVO, London</w:t>
      </w:r>
      <w:r w:rsidR="00613157" w:rsidRPr="00CB0B3B">
        <w:rPr>
          <w:rFonts w:ascii="Times New Roman" w:hAnsi="Times New Roman" w:cs="Times New Roman"/>
          <w:sz w:val="24"/>
          <w:szCs w:val="24"/>
        </w:rPr>
        <w:t>.</w:t>
      </w:r>
    </w:p>
    <w:p w:rsidR="005173A5" w:rsidRPr="00CB0B3B" w:rsidRDefault="005173A5" w:rsidP="008D745F">
      <w:pPr>
        <w:spacing w:after="0" w:line="360" w:lineRule="auto"/>
        <w:rPr>
          <w:rFonts w:ascii="Times New Roman" w:hAnsi="Times New Roman" w:cs="Times New Roman"/>
          <w:sz w:val="24"/>
          <w:szCs w:val="24"/>
        </w:rPr>
      </w:pPr>
    </w:p>
    <w:p w:rsidR="00962517" w:rsidRDefault="00962517" w:rsidP="00962517">
      <w:pPr>
        <w:spacing w:after="0" w:line="360" w:lineRule="auto"/>
        <w:rPr>
          <w:rStyle w:val="Hyperlink"/>
          <w:rFonts w:ascii="Times New Roman" w:hAnsi="Times New Roman" w:cs="Times New Roman"/>
          <w:sz w:val="24"/>
          <w:szCs w:val="24"/>
          <w:lang w:val="en-GB"/>
        </w:rPr>
      </w:pPr>
      <w:r w:rsidRPr="00962517">
        <w:rPr>
          <w:rFonts w:ascii="Times New Roman" w:hAnsi="Times New Roman" w:cs="Times New Roman"/>
          <w:sz w:val="24"/>
          <w:szCs w:val="24"/>
          <w:lang w:val="en-GB"/>
        </w:rPr>
        <w:t>Goodspeed,</w:t>
      </w:r>
      <w:r>
        <w:rPr>
          <w:rFonts w:ascii="Times New Roman" w:hAnsi="Times New Roman" w:cs="Times New Roman"/>
          <w:sz w:val="24"/>
          <w:szCs w:val="24"/>
          <w:lang w:val="en-GB"/>
        </w:rPr>
        <w:t xml:space="preserve"> T., </w:t>
      </w:r>
      <w:r w:rsidRPr="00962517">
        <w:rPr>
          <w:rFonts w:ascii="Times New Roman" w:hAnsi="Times New Roman" w:cs="Times New Roman"/>
          <w:sz w:val="24"/>
          <w:szCs w:val="24"/>
          <w:lang w:val="en-GB"/>
        </w:rPr>
        <w:t>Lawlor,</w:t>
      </w:r>
      <w:r>
        <w:rPr>
          <w:rFonts w:ascii="Times New Roman" w:hAnsi="Times New Roman" w:cs="Times New Roman"/>
          <w:sz w:val="24"/>
          <w:szCs w:val="24"/>
          <w:lang w:val="en-GB"/>
        </w:rPr>
        <w:t xml:space="preserve"> E., </w:t>
      </w:r>
      <w:r w:rsidRPr="00962517">
        <w:rPr>
          <w:rFonts w:ascii="Times New Roman" w:hAnsi="Times New Roman" w:cs="Times New Roman"/>
          <w:sz w:val="24"/>
          <w:szCs w:val="24"/>
          <w:lang w:val="en-GB"/>
        </w:rPr>
        <w:t>Neitzert,</w:t>
      </w:r>
      <w:r>
        <w:rPr>
          <w:rFonts w:ascii="Times New Roman" w:hAnsi="Times New Roman" w:cs="Times New Roman"/>
          <w:sz w:val="24"/>
          <w:szCs w:val="24"/>
          <w:lang w:val="en-GB"/>
        </w:rPr>
        <w:t xml:space="preserve"> E., and </w:t>
      </w:r>
      <w:r w:rsidRPr="00962517">
        <w:rPr>
          <w:rFonts w:ascii="Times New Roman" w:hAnsi="Times New Roman" w:cs="Times New Roman"/>
          <w:sz w:val="24"/>
          <w:szCs w:val="24"/>
          <w:lang w:val="en-GB"/>
        </w:rPr>
        <w:t>Nicholls</w:t>
      </w:r>
      <w:r>
        <w:rPr>
          <w:rFonts w:ascii="Times New Roman" w:hAnsi="Times New Roman" w:cs="Times New Roman"/>
          <w:sz w:val="24"/>
          <w:szCs w:val="24"/>
          <w:lang w:val="en-GB"/>
        </w:rPr>
        <w:t xml:space="preserve">, J.  </w:t>
      </w:r>
      <w:r w:rsidRPr="00962517">
        <w:rPr>
          <w:rFonts w:ascii="Times New Roman" w:hAnsi="Times New Roman" w:cs="Times New Roman"/>
          <w:sz w:val="24"/>
          <w:szCs w:val="24"/>
          <w:lang w:val="en-GB"/>
        </w:rPr>
        <w:t>A guide to Social Return on Investment</w:t>
      </w:r>
      <w:r w:rsidR="003545A1">
        <w:rPr>
          <w:rFonts w:ascii="Times New Roman" w:hAnsi="Times New Roman" w:cs="Times New Roman"/>
          <w:sz w:val="24"/>
          <w:szCs w:val="24"/>
          <w:lang w:val="en-GB"/>
        </w:rPr>
        <w:t xml:space="preserve">.(2009) </w:t>
      </w:r>
      <w:r w:rsidRPr="00962517">
        <w:rPr>
          <w:rFonts w:ascii="Times New Roman" w:hAnsi="Times New Roman" w:cs="Times New Roman"/>
          <w:sz w:val="24"/>
          <w:szCs w:val="24"/>
          <w:lang w:val="en-GB"/>
        </w:rPr>
        <w:t>New Economics Foundation</w:t>
      </w:r>
      <w:r w:rsidR="003545A1">
        <w:rPr>
          <w:rFonts w:ascii="Times New Roman" w:hAnsi="Times New Roman" w:cs="Times New Roman"/>
          <w:sz w:val="24"/>
          <w:szCs w:val="24"/>
          <w:lang w:val="en-GB"/>
        </w:rPr>
        <w:t>. Available at:</w:t>
      </w:r>
      <w:r>
        <w:rPr>
          <w:rFonts w:ascii="Times New Roman" w:hAnsi="Times New Roman" w:cs="Times New Roman"/>
          <w:sz w:val="24"/>
          <w:szCs w:val="24"/>
          <w:lang w:val="en-GB"/>
        </w:rPr>
        <w:t xml:space="preserve"> </w:t>
      </w:r>
      <w:hyperlink r:id="rId19" w:history="1">
        <w:r w:rsidRPr="00BC0C6E">
          <w:rPr>
            <w:rStyle w:val="Hyperlink"/>
            <w:rFonts w:ascii="Times New Roman" w:hAnsi="Times New Roman" w:cs="Times New Roman"/>
            <w:sz w:val="24"/>
            <w:szCs w:val="24"/>
            <w:lang w:val="en-GB"/>
          </w:rPr>
          <w:t>http://www.neweconomics.org/publications/entry/a-guide-to-social-return-on-investment</w:t>
        </w:r>
      </w:hyperlink>
    </w:p>
    <w:p w:rsidR="003545A1" w:rsidRDefault="003545A1" w:rsidP="00962517">
      <w:pPr>
        <w:spacing w:after="0" w:line="360" w:lineRule="auto"/>
        <w:rPr>
          <w:rFonts w:ascii="Times New Roman" w:hAnsi="Times New Roman" w:cs="Times New Roman"/>
          <w:sz w:val="24"/>
          <w:szCs w:val="24"/>
          <w:lang w:val="en-GB"/>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North,</w:t>
      </w:r>
      <w:r w:rsidR="00E573E5" w:rsidRPr="00CB0B3B">
        <w:rPr>
          <w:rFonts w:ascii="Times New Roman" w:hAnsi="Times New Roman" w:cs="Times New Roman"/>
          <w:sz w:val="24"/>
          <w:szCs w:val="24"/>
        </w:rPr>
        <w:t xml:space="preserve"> D</w:t>
      </w:r>
      <w:r w:rsidR="00613157" w:rsidRPr="00CB0B3B">
        <w:rPr>
          <w:rFonts w:ascii="Times New Roman" w:hAnsi="Times New Roman" w:cs="Times New Roman"/>
          <w:sz w:val="24"/>
          <w:szCs w:val="24"/>
        </w:rPr>
        <w:t>.</w:t>
      </w:r>
      <w:r w:rsidR="00B2710E" w:rsidRPr="00CB0B3B">
        <w:rPr>
          <w:rFonts w:ascii="Times New Roman" w:hAnsi="Times New Roman" w:cs="Times New Roman"/>
          <w:sz w:val="24"/>
          <w:szCs w:val="24"/>
        </w:rPr>
        <w:t xml:space="preserve"> </w:t>
      </w:r>
      <w:r w:rsidR="0004049A">
        <w:rPr>
          <w:rFonts w:ascii="Times New Roman" w:hAnsi="Times New Roman" w:cs="Times New Roman"/>
          <w:sz w:val="24"/>
          <w:szCs w:val="24"/>
        </w:rPr>
        <w:t xml:space="preserve"> </w:t>
      </w:r>
      <w:r w:rsidR="00E573E5" w:rsidRPr="00CB0B3B">
        <w:rPr>
          <w:rFonts w:ascii="Times New Roman" w:hAnsi="Times New Roman" w:cs="Times New Roman"/>
          <w:i/>
          <w:sz w:val="24"/>
          <w:szCs w:val="24"/>
        </w:rPr>
        <w:t>Institutions, Institutional Change and Economic Performance</w:t>
      </w:r>
      <w:r w:rsidR="00E573E5" w:rsidRPr="00CB0B3B">
        <w:rPr>
          <w:rFonts w:ascii="Times New Roman" w:hAnsi="Times New Roman" w:cs="Times New Roman"/>
          <w:sz w:val="24"/>
          <w:szCs w:val="24"/>
        </w:rPr>
        <w:t>.</w:t>
      </w:r>
      <w:r w:rsidR="003545A1">
        <w:rPr>
          <w:rFonts w:ascii="Times New Roman" w:hAnsi="Times New Roman" w:cs="Times New Roman"/>
          <w:sz w:val="24"/>
          <w:szCs w:val="24"/>
        </w:rPr>
        <w:t xml:space="preserve"> (1990a)</w:t>
      </w:r>
      <w:r w:rsidR="00E573E5" w:rsidRPr="00CB0B3B">
        <w:rPr>
          <w:rFonts w:ascii="Times New Roman" w:hAnsi="Times New Roman" w:cs="Times New Roman"/>
          <w:sz w:val="24"/>
          <w:szCs w:val="24"/>
        </w:rPr>
        <w:t xml:space="preserve"> Cambridge University Press</w:t>
      </w:r>
      <w:r w:rsidR="003545A1">
        <w:rPr>
          <w:rFonts w:ascii="Times New Roman" w:hAnsi="Times New Roman" w:cs="Times New Roman"/>
          <w:sz w:val="24"/>
          <w:szCs w:val="24"/>
        </w:rPr>
        <w:t>, Cambridge</w:t>
      </w:r>
      <w:r w:rsidR="00E573E5" w:rsidRPr="00CB0B3B">
        <w:rPr>
          <w:rFonts w:ascii="Times New Roman" w:hAnsi="Times New Roman" w:cs="Times New Roman"/>
          <w:sz w:val="24"/>
          <w:szCs w:val="24"/>
        </w:rPr>
        <w:t>.</w:t>
      </w:r>
      <w:r w:rsidRPr="00CB0B3B">
        <w:rPr>
          <w:rFonts w:ascii="Times New Roman" w:hAnsi="Times New Roman" w:cs="Times New Roman"/>
          <w:sz w:val="24"/>
          <w:szCs w:val="24"/>
        </w:rPr>
        <w:t xml:space="preserve"> </w:t>
      </w:r>
    </w:p>
    <w:p w:rsidR="00B2710E" w:rsidRPr="00CB0B3B" w:rsidRDefault="00B2710E" w:rsidP="008D745F">
      <w:pPr>
        <w:spacing w:after="0" w:line="360" w:lineRule="auto"/>
        <w:rPr>
          <w:rFonts w:ascii="Times New Roman" w:hAnsi="Times New Roman" w:cs="Times New Roman"/>
          <w:sz w:val="24"/>
          <w:szCs w:val="24"/>
        </w:rPr>
      </w:pPr>
    </w:p>
    <w:p w:rsidR="00B2710E" w:rsidRPr="00CB0B3B" w:rsidRDefault="00B2710E"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North, D.  A transaction cost theory of politics.  </w:t>
      </w:r>
      <w:r w:rsidR="001B6DE9" w:rsidRPr="00CB0B3B">
        <w:rPr>
          <w:rFonts w:ascii="Times New Roman" w:hAnsi="Times New Roman" w:cs="Times New Roman"/>
          <w:i/>
          <w:sz w:val="24"/>
          <w:szCs w:val="24"/>
        </w:rPr>
        <w:t>Journal of Theoretical Politics</w:t>
      </w:r>
      <w:r w:rsidR="005220FC" w:rsidRPr="00CB0B3B">
        <w:rPr>
          <w:rFonts w:ascii="Times New Roman" w:hAnsi="Times New Roman" w:cs="Times New Roman"/>
          <w:sz w:val="24"/>
          <w:szCs w:val="24"/>
        </w:rPr>
        <w:t>, V</w:t>
      </w:r>
      <w:r w:rsidRPr="00CB0B3B">
        <w:rPr>
          <w:rFonts w:ascii="Times New Roman" w:hAnsi="Times New Roman" w:cs="Times New Roman"/>
          <w:sz w:val="24"/>
          <w:szCs w:val="24"/>
        </w:rPr>
        <w:t>ol.2, (1990</w:t>
      </w:r>
      <w:r w:rsidR="003910CC" w:rsidRPr="00CB0B3B">
        <w:rPr>
          <w:rFonts w:ascii="Times New Roman" w:hAnsi="Times New Roman" w:cs="Times New Roman"/>
          <w:sz w:val="24"/>
          <w:szCs w:val="24"/>
        </w:rPr>
        <w:t>b</w:t>
      </w:r>
      <w:r w:rsidRPr="00CB0B3B">
        <w:rPr>
          <w:rFonts w:ascii="Times New Roman" w:hAnsi="Times New Roman" w:cs="Times New Roman"/>
          <w:sz w:val="24"/>
          <w:szCs w:val="24"/>
        </w:rPr>
        <w:t>)  pp.355-367.</w:t>
      </w:r>
    </w:p>
    <w:p w:rsidR="007350B5" w:rsidRPr="00CB0B3B" w:rsidRDefault="007350B5"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Powell, J.</w:t>
      </w:r>
      <w:r w:rsidR="00891ED5" w:rsidRPr="00CB0B3B">
        <w:rPr>
          <w:rFonts w:ascii="Times New Roman" w:hAnsi="Times New Roman" w:cs="Times New Roman"/>
          <w:sz w:val="24"/>
          <w:szCs w:val="24"/>
        </w:rPr>
        <w:t xml:space="preserve"> and</w:t>
      </w:r>
      <w:r w:rsidRPr="00CB0B3B">
        <w:rPr>
          <w:rFonts w:ascii="Times New Roman" w:hAnsi="Times New Roman" w:cs="Times New Roman"/>
          <w:sz w:val="24"/>
          <w:szCs w:val="24"/>
        </w:rPr>
        <w:t xml:space="preserve"> Courtney, P. </w:t>
      </w:r>
      <w:r w:rsidR="00FA385E"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Evaluation of the socio-economic measures in the England RDP, 2007-2013</w:t>
      </w:r>
      <w:r w:rsidRPr="00CB0B3B">
        <w:rPr>
          <w:rFonts w:ascii="Times New Roman" w:hAnsi="Times New Roman" w:cs="Times New Roman"/>
          <w:sz w:val="24"/>
          <w:szCs w:val="24"/>
        </w:rPr>
        <w:t>.</w:t>
      </w:r>
      <w:r w:rsidR="006C6A62" w:rsidRPr="00CB0B3B">
        <w:rPr>
          <w:rFonts w:ascii="Times New Roman" w:hAnsi="Times New Roman" w:cs="Times New Roman"/>
          <w:sz w:val="24"/>
          <w:szCs w:val="24"/>
        </w:rPr>
        <w:t xml:space="preserve">  </w:t>
      </w:r>
      <w:r w:rsidR="00FA385E" w:rsidRPr="00CB0B3B">
        <w:rPr>
          <w:rFonts w:ascii="Times New Roman" w:hAnsi="Times New Roman" w:cs="Times New Roman"/>
          <w:sz w:val="24"/>
          <w:szCs w:val="24"/>
        </w:rPr>
        <w:t>(2013)</w:t>
      </w:r>
      <w:r w:rsidR="003545A1">
        <w:rPr>
          <w:rFonts w:ascii="Times New Roman" w:hAnsi="Times New Roman" w:cs="Times New Roman"/>
          <w:sz w:val="24"/>
          <w:szCs w:val="24"/>
        </w:rPr>
        <w:t>. CCRI, University of Gloucestershire, Gloucester.</w:t>
      </w:r>
      <w:r w:rsidR="006C6A62" w:rsidRPr="00CB0B3B">
        <w:rPr>
          <w:rFonts w:ascii="Times New Roman" w:hAnsi="Times New Roman" w:cs="Times New Roman"/>
          <w:sz w:val="24"/>
          <w:szCs w:val="24"/>
        </w:rPr>
        <w:t xml:space="preserve"> </w:t>
      </w:r>
    </w:p>
    <w:p w:rsidR="007350B5" w:rsidRPr="00CB0B3B" w:rsidRDefault="007350B5" w:rsidP="008D745F">
      <w:pPr>
        <w:spacing w:after="0" w:line="360" w:lineRule="auto"/>
        <w:rPr>
          <w:rFonts w:ascii="Times New Roman" w:hAnsi="Times New Roman" w:cs="Times New Roman"/>
          <w:sz w:val="24"/>
          <w:szCs w:val="24"/>
        </w:rPr>
      </w:pPr>
    </w:p>
    <w:p w:rsidR="006C6A62" w:rsidRPr="00E4170D"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RuDI</w:t>
      </w:r>
      <w:r w:rsidR="00FA385E" w:rsidRPr="00CB0B3B">
        <w:rPr>
          <w:rFonts w:ascii="Times New Roman" w:hAnsi="Times New Roman" w:cs="Times New Roman"/>
          <w:sz w:val="24"/>
          <w:szCs w:val="24"/>
        </w:rPr>
        <w:t xml:space="preserve">. </w:t>
      </w:r>
      <w:r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Ru</w:t>
      </w:r>
      <w:r w:rsidR="00E4170D">
        <w:rPr>
          <w:rFonts w:ascii="Times New Roman" w:hAnsi="Times New Roman" w:cs="Times New Roman"/>
          <w:i/>
          <w:sz w:val="24"/>
          <w:szCs w:val="24"/>
        </w:rPr>
        <w:t>ral Development Impacts</w:t>
      </w:r>
      <w:r w:rsidR="00171FE3" w:rsidRPr="00CB0B3B">
        <w:rPr>
          <w:rFonts w:ascii="Times New Roman" w:hAnsi="Times New Roman" w:cs="Times New Roman"/>
          <w:i/>
          <w:sz w:val="24"/>
          <w:szCs w:val="24"/>
        </w:rPr>
        <w:t>:  Extended Policy Brief</w:t>
      </w:r>
      <w:r w:rsidRPr="00CB0B3B">
        <w:rPr>
          <w:rFonts w:ascii="Times New Roman" w:hAnsi="Times New Roman" w:cs="Times New Roman"/>
          <w:sz w:val="24"/>
          <w:szCs w:val="24"/>
        </w:rPr>
        <w:t>.</w:t>
      </w:r>
      <w:r w:rsidR="003D3C88" w:rsidRPr="00CB0B3B">
        <w:rPr>
          <w:rFonts w:ascii="Times New Roman" w:hAnsi="Times New Roman" w:cs="Times New Roman"/>
          <w:sz w:val="24"/>
          <w:szCs w:val="24"/>
        </w:rPr>
        <w:t xml:space="preserve"> </w:t>
      </w:r>
      <w:r w:rsidRPr="00CB0B3B">
        <w:rPr>
          <w:rFonts w:ascii="Times New Roman" w:hAnsi="Times New Roman" w:cs="Times New Roman"/>
          <w:sz w:val="24"/>
          <w:szCs w:val="24"/>
        </w:rPr>
        <w:t xml:space="preserve"> </w:t>
      </w:r>
      <w:r w:rsidR="00FA385E" w:rsidRPr="00CB0B3B">
        <w:rPr>
          <w:rFonts w:ascii="Times New Roman" w:hAnsi="Times New Roman" w:cs="Times New Roman"/>
          <w:sz w:val="24"/>
          <w:szCs w:val="24"/>
        </w:rPr>
        <w:t xml:space="preserve"> (2010) </w:t>
      </w:r>
      <w:r w:rsidR="00E4170D">
        <w:rPr>
          <w:rFonts w:ascii="Times New Roman" w:hAnsi="Times New Roman" w:cs="Times New Roman"/>
          <w:sz w:val="24"/>
          <w:szCs w:val="24"/>
        </w:rPr>
        <w:t xml:space="preserve">RuDI Framework 7 project funded by the European Commission. Available at: </w:t>
      </w:r>
      <w:hyperlink r:id="rId20" w:history="1">
        <w:r w:rsidR="006C6A62" w:rsidRPr="00CB0B3B">
          <w:rPr>
            <w:rStyle w:val="Hyperlink"/>
            <w:rFonts w:ascii="Times New Roman" w:hAnsi="Times New Roman" w:cs="Times New Roman"/>
            <w:sz w:val="24"/>
            <w:szCs w:val="24"/>
          </w:rPr>
          <w:t>www.rudi-europe.net</w:t>
        </w:r>
      </w:hyperlink>
      <w:r w:rsidR="00E4170D">
        <w:rPr>
          <w:rStyle w:val="Hyperlink"/>
          <w:rFonts w:ascii="Times New Roman" w:hAnsi="Times New Roman" w:cs="Times New Roman"/>
          <w:sz w:val="24"/>
          <w:szCs w:val="24"/>
        </w:rPr>
        <w:t xml:space="preserve">. </w:t>
      </w:r>
      <w:r w:rsidR="00E4170D">
        <w:rPr>
          <w:rStyle w:val="Hyperlink"/>
          <w:rFonts w:ascii="Times New Roman" w:hAnsi="Times New Roman" w:cs="Times New Roman"/>
          <w:color w:val="auto"/>
          <w:sz w:val="24"/>
          <w:szCs w:val="24"/>
          <w:u w:val="none"/>
        </w:rPr>
        <w:t>Accessed 23 March 2016.</w:t>
      </w:r>
    </w:p>
    <w:p w:rsidR="007350B5" w:rsidRPr="00CB0B3B" w:rsidRDefault="007350B5" w:rsidP="008D745F">
      <w:pPr>
        <w:spacing w:after="0" w:line="360" w:lineRule="auto"/>
        <w:rPr>
          <w:rFonts w:ascii="Times New Roman" w:hAnsi="Times New Roman" w:cs="Times New Roman"/>
          <w:sz w:val="24"/>
          <w:szCs w:val="24"/>
        </w:rPr>
      </w:pPr>
    </w:p>
    <w:p w:rsidR="007350B5" w:rsidRPr="00E4170D"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Schlag, </w:t>
      </w:r>
      <w:r w:rsidR="00D24993" w:rsidRPr="00CB0B3B">
        <w:rPr>
          <w:rFonts w:ascii="Times New Roman" w:hAnsi="Times New Roman" w:cs="Times New Roman"/>
          <w:sz w:val="24"/>
          <w:szCs w:val="24"/>
        </w:rPr>
        <w:t xml:space="preserve">P.   </w:t>
      </w:r>
      <w:r w:rsidR="00FA385E" w:rsidRPr="00CB0B3B">
        <w:rPr>
          <w:rFonts w:ascii="Times New Roman" w:hAnsi="Times New Roman" w:cs="Times New Roman"/>
          <w:sz w:val="24"/>
          <w:szCs w:val="24"/>
        </w:rPr>
        <w:t>‘</w:t>
      </w:r>
      <w:r w:rsidR="00D24993" w:rsidRPr="00CB0B3B">
        <w:rPr>
          <w:rFonts w:ascii="Times New Roman" w:hAnsi="Times New Roman" w:cs="Times New Roman"/>
          <w:sz w:val="24"/>
          <w:szCs w:val="24"/>
        </w:rPr>
        <w:t>The problem of transaction costs</w:t>
      </w:r>
      <w:r w:rsidR="00FA385E" w:rsidRPr="00CB0B3B">
        <w:rPr>
          <w:rFonts w:ascii="Times New Roman" w:hAnsi="Times New Roman" w:cs="Times New Roman"/>
          <w:sz w:val="24"/>
          <w:szCs w:val="24"/>
        </w:rPr>
        <w:t>’</w:t>
      </w:r>
      <w:r w:rsidR="00D24993" w:rsidRPr="00CB0B3B">
        <w:rPr>
          <w:rFonts w:ascii="Times New Roman" w:hAnsi="Times New Roman" w:cs="Times New Roman"/>
          <w:sz w:val="24"/>
          <w:szCs w:val="24"/>
        </w:rPr>
        <w:t xml:space="preserve">.  </w:t>
      </w:r>
      <w:r w:rsidR="00D24993" w:rsidRPr="00CB0B3B">
        <w:rPr>
          <w:rFonts w:ascii="Times New Roman" w:hAnsi="Times New Roman" w:cs="Times New Roman"/>
          <w:i/>
          <w:sz w:val="24"/>
          <w:szCs w:val="24"/>
        </w:rPr>
        <w:t>Southern California Law Review</w:t>
      </w:r>
      <w:r w:rsidR="00D24993" w:rsidRPr="00CB0B3B">
        <w:rPr>
          <w:rFonts w:ascii="Times New Roman" w:hAnsi="Times New Roman" w:cs="Times New Roman"/>
          <w:sz w:val="24"/>
          <w:szCs w:val="24"/>
        </w:rPr>
        <w:t xml:space="preserve">, </w:t>
      </w:r>
      <w:r w:rsidR="005220FC" w:rsidRPr="00CB0B3B">
        <w:rPr>
          <w:rFonts w:ascii="Times New Roman" w:hAnsi="Times New Roman" w:cs="Times New Roman"/>
          <w:sz w:val="24"/>
          <w:szCs w:val="24"/>
        </w:rPr>
        <w:t>v</w:t>
      </w:r>
      <w:r w:rsidR="00D24993" w:rsidRPr="00CB0B3B">
        <w:rPr>
          <w:rFonts w:ascii="Times New Roman" w:hAnsi="Times New Roman" w:cs="Times New Roman"/>
          <w:sz w:val="24"/>
          <w:szCs w:val="24"/>
        </w:rPr>
        <w:t>ol.62</w:t>
      </w:r>
      <w:r w:rsidR="00FA385E" w:rsidRPr="00CB0B3B">
        <w:rPr>
          <w:rFonts w:ascii="Times New Roman" w:hAnsi="Times New Roman" w:cs="Times New Roman"/>
          <w:sz w:val="24"/>
          <w:szCs w:val="24"/>
        </w:rPr>
        <w:t xml:space="preserve">, (1989) </w:t>
      </w:r>
      <w:r w:rsidR="00D24993" w:rsidRPr="00CB0B3B">
        <w:rPr>
          <w:rFonts w:ascii="Times New Roman" w:hAnsi="Times New Roman" w:cs="Times New Roman"/>
          <w:sz w:val="24"/>
          <w:szCs w:val="24"/>
        </w:rPr>
        <w:t xml:space="preserve">  </w:t>
      </w:r>
      <w:r w:rsidR="003D3C88" w:rsidRPr="00CB0B3B">
        <w:rPr>
          <w:rFonts w:ascii="Times New Roman" w:hAnsi="Times New Roman" w:cs="Times New Roman"/>
          <w:sz w:val="24"/>
          <w:szCs w:val="24"/>
        </w:rPr>
        <w:t xml:space="preserve">University of Colorado Law School Legal Studies Research Paper Series.  Available at SSRN: </w:t>
      </w:r>
      <w:hyperlink r:id="rId21" w:history="1">
        <w:r w:rsidR="003D3C88" w:rsidRPr="00CB0B3B">
          <w:rPr>
            <w:rStyle w:val="Hyperlink"/>
            <w:rFonts w:ascii="Times New Roman" w:hAnsi="Times New Roman" w:cs="Times New Roman"/>
            <w:sz w:val="24"/>
            <w:szCs w:val="24"/>
          </w:rPr>
          <w:t>http://ssrn.com/abstract=1026662</w:t>
        </w:r>
      </w:hyperlink>
      <w:r w:rsidR="00E4170D">
        <w:rPr>
          <w:rStyle w:val="Hyperlink"/>
          <w:rFonts w:ascii="Times New Roman" w:hAnsi="Times New Roman" w:cs="Times New Roman"/>
          <w:sz w:val="24"/>
          <w:szCs w:val="24"/>
        </w:rPr>
        <w:t xml:space="preserve"> </w:t>
      </w:r>
      <w:r w:rsidR="00E4170D">
        <w:rPr>
          <w:rStyle w:val="Hyperlink"/>
          <w:rFonts w:ascii="Times New Roman" w:hAnsi="Times New Roman" w:cs="Times New Roman"/>
          <w:color w:val="auto"/>
          <w:sz w:val="24"/>
          <w:szCs w:val="24"/>
          <w:u w:val="none"/>
        </w:rPr>
        <w:t>Accessed 23 March 2016.</w:t>
      </w:r>
    </w:p>
    <w:p w:rsidR="003D3C88" w:rsidRPr="00CB0B3B" w:rsidRDefault="003D3C88" w:rsidP="008D745F">
      <w:pPr>
        <w:spacing w:after="0" w:line="360" w:lineRule="auto"/>
        <w:rPr>
          <w:rFonts w:ascii="Times New Roman" w:hAnsi="Times New Roman" w:cs="Times New Roman"/>
          <w:sz w:val="24"/>
          <w:szCs w:val="24"/>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Schmid, A. A. </w:t>
      </w:r>
      <w:r w:rsidR="00FA385E" w:rsidRPr="00CB0B3B">
        <w:rPr>
          <w:rFonts w:ascii="Times New Roman" w:hAnsi="Times New Roman" w:cs="Times New Roman"/>
          <w:sz w:val="24"/>
          <w:szCs w:val="24"/>
        </w:rPr>
        <w:t xml:space="preserve"> </w:t>
      </w:r>
      <w:r w:rsidRPr="00CB0B3B">
        <w:rPr>
          <w:rFonts w:ascii="Times New Roman" w:hAnsi="Times New Roman" w:cs="Times New Roman"/>
          <w:sz w:val="24"/>
          <w:szCs w:val="24"/>
        </w:rPr>
        <w:t xml:space="preserve"> </w:t>
      </w:r>
      <w:r w:rsidRPr="00CB0B3B">
        <w:rPr>
          <w:rFonts w:ascii="Times New Roman" w:hAnsi="Times New Roman" w:cs="Times New Roman"/>
          <w:i/>
          <w:sz w:val="24"/>
          <w:szCs w:val="24"/>
        </w:rPr>
        <w:t>Conflict and co-operation: institutional and behavioural economics</w:t>
      </w:r>
      <w:r w:rsidRPr="00CB0B3B">
        <w:rPr>
          <w:rFonts w:ascii="Times New Roman" w:hAnsi="Times New Roman" w:cs="Times New Roman"/>
          <w:sz w:val="24"/>
          <w:szCs w:val="24"/>
        </w:rPr>
        <w:t xml:space="preserve"> </w:t>
      </w:r>
      <w:r w:rsidR="00FA385E" w:rsidRPr="00CB0B3B">
        <w:rPr>
          <w:rFonts w:ascii="Times New Roman" w:hAnsi="Times New Roman" w:cs="Times New Roman"/>
          <w:sz w:val="24"/>
          <w:szCs w:val="24"/>
        </w:rPr>
        <w:t>(2004)</w:t>
      </w:r>
      <w:r w:rsidR="00E4170D">
        <w:rPr>
          <w:rFonts w:ascii="Times New Roman" w:hAnsi="Times New Roman" w:cs="Times New Roman"/>
          <w:sz w:val="24"/>
          <w:szCs w:val="24"/>
        </w:rPr>
        <w:t>. Blackwell, Oxford.</w:t>
      </w:r>
    </w:p>
    <w:p w:rsidR="007350B5" w:rsidRPr="00CB0B3B" w:rsidRDefault="007350B5" w:rsidP="008D745F">
      <w:pPr>
        <w:spacing w:after="0" w:line="360" w:lineRule="auto"/>
        <w:rPr>
          <w:rFonts w:ascii="Times New Roman" w:hAnsi="Times New Roman" w:cs="Times New Roman"/>
          <w:sz w:val="24"/>
          <w:szCs w:val="24"/>
        </w:rPr>
      </w:pPr>
    </w:p>
    <w:p w:rsidR="007350B5" w:rsidRPr="00643A57" w:rsidRDefault="007350B5" w:rsidP="008D745F">
      <w:pPr>
        <w:spacing w:after="0" w:line="360" w:lineRule="auto"/>
        <w:rPr>
          <w:rFonts w:ascii="Times New Roman" w:hAnsi="Times New Roman" w:cs="Times New Roman"/>
          <w:sz w:val="24"/>
          <w:szCs w:val="24"/>
          <w:lang w:val="en-GB"/>
        </w:rPr>
      </w:pPr>
      <w:r w:rsidRPr="00CB0B3B">
        <w:rPr>
          <w:rFonts w:ascii="Times New Roman" w:hAnsi="Times New Roman" w:cs="Times New Roman"/>
          <w:sz w:val="24"/>
          <w:szCs w:val="24"/>
        </w:rPr>
        <w:t xml:space="preserve">Schuh, B., Beiglböck, S.,Novak, S. Panwinkler, T., Tordy, J., Fischer, M., Zondag, M-J., Dwyer, J., Banski, J. and Saraceno, E.  </w:t>
      </w:r>
      <w:r w:rsidR="00FA385E"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Synthesis of Mid-Term Evaluations of Rural Development Programmes 2007-2013</w:t>
      </w:r>
      <w:r w:rsidRPr="00CB0B3B">
        <w:rPr>
          <w:rFonts w:ascii="Times New Roman" w:hAnsi="Times New Roman" w:cs="Times New Roman"/>
          <w:sz w:val="24"/>
          <w:szCs w:val="24"/>
        </w:rPr>
        <w:t>.</w:t>
      </w:r>
      <w:r w:rsidR="004E3BEF" w:rsidRPr="00CB0B3B">
        <w:rPr>
          <w:rFonts w:ascii="Times New Roman" w:hAnsi="Times New Roman" w:cs="Times New Roman"/>
          <w:sz w:val="24"/>
          <w:szCs w:val="24"/>
        </w:rPr>
        <w:t xml:space="preserve"> </w:t>
      </w:r>
      <w:r w:rsidRPr="00CB0B3B">
        <w:rPr>
          <w:rFonts w:ascii="Times New Roman" w:hAnsi="Times New Roman" w:cs="Times New Roman"/>
          <w:sz w:val="24"/>
          <w:szCs w:val="24"/>
        </w:rPr>
        <w:t xml:space="preserve"> Final Report to DG Agri</w:t>
      </w:r>
      <w:r w:rsidR="00E4170D">
        <w:rPr>
          <w:rFonts w:ascii="Times New Roman" w:hAnsi="Times New Roman" w:cs="Times New Roman"/>
          <w:sz w:val="24"/>
          <w:szCs w:val="24"/>
        </w:rPr>
        <w:t>culture and rural development</w:t>
      </w:r>
      <w:r w:rsidRPr="00CB0B3B">
        <w:rPr>
          <w:rFonts w:ascii="Times New Roman" w:hAnsi="Times New Roman" w:cs="Times New Roman"/>
          <w:sz w:val="24"/>
          <w:szCs w:val="24"/>
        </w:rPr>
        <w:t xml:space="preserve"> </w:t>
      </w:r>
      <w:r w:rsidR="00E4170D">
        <w:rPr>
          <w:rFonts w:ascii="Times New Roman" w:hAnsi="Times New Roman" w:cs="Times New Roman"/>
          <w:sz w:val="24"/>
          <w:szCs w:val="24"/>
        </w:rPr>
        <w:t>(</w:t>
      </w:r>
      <w:r w:rsidRPr="00CB0B3B">
        <w:rPr>
          <w:rFonts w:ascii="Times New Roman" w:hAnsi="Times New Roman" w:cs="Times New Roman"/>
          <w:sz w:val="24"/>
          <w:szCs w:val="24"/>
        </w:rPr>
        <w:t>2012</w:t>
      </w:r>
      <w:r w:rsidR="00FA385E" w:rsidRPr="00CB0B3B">
        <w:rPr>
          <w:rFonts w:ascii="Times New Roman" w:hAnsi="Times New Roman" w:cs="Times New Roman"/>
          <w:sz w:val="24"/>
          <w:szCs w:val="24"/>
        </w:rPr>
        <w:t>)</w:t>
      </w:r>
      <w:r w:rsidRPr="00CB0B3B">
        <w:rPr>
          <w:rFonts w:ascii="Times New Roman" w:hAnsi="Times New Roman" w:cs="Times New Roman"/>
          <w:sz w:val="24"/>
          <w:szCs w:val="24"/>
        </w:rPr>
        <w:t>.</w:t>
      </w:r>
      <w:r w:rsidR="00E4170D">
        <w:rPr>
          <w:rFonts w:ascii="Times New Roman" w:hAnsi="Times New Roman" w:cs="Times New Roman"/>
          <w:sz w:val="24"/>
          <w:szCs w:val="24"/>
        </w:rPr>
        <w:t xml:space="preserve"> Commission of the European Communities, Brussels. </w:t>
      </w:r>
      <w:r w:rsidR="00E4170D" w:rsidRPr="00643A57">
        <w:rPr>
          <w:rFonts w:ascii="Times New Roman" w:hAnsi="Times New Roman" w:cs="Times New Roman"/>
          <w:sz w:val="24"/>
          <w:szCs w:val="24"/>
          <w:lang w:val="en-GB"/>
        </w:rPr>
        <w:t>Available at:</w:t>
      </w:r>
    </w:p>
    <w:p w:rsidR="00E4170D" w:rsidRPr="00643A57" w:rsidRDefault="0065331D" w:rsidP="008D745F">
      <w:pPr>
        <w:spacing w:after="0" w:line="360" w:lineRule="auto"/>
        <w:rPr>
          <w:rFonts w:ascii="Times New Roman" w:hAnsi="Times New Roman" w:cs="Times New Roman"/>
          <w:sz w:val="24"/>
          <w:szCs w:val="24"/>
          <w:lang w:val="en-GB"/>
        </w:rPr>
      </w:pPr>
      <w:hyperlink r:id="rId22" w:history="1">
        <w:r w:rsidR="00E4170D" w:rsidRPr="00643A57">
          <w:rPr>
            <w:rStyle w:val="Hyperlink"/>
            <w:rFonts w:ascii="Times New Roman" w:hAnsi="Times New Roman" w:cs="Times New Roman"/>
            <w:sz w:val="24"/>
            <w:szCs w:val="24"/>
            <w:lang w:val="en-GB"/>
          </w:rPr>
          <w:t>http://ec.europa.eu/agriculture/evaluation/rural-development-reports/synthesis-mte-2007-2013_en.htm</w:t>
        </w:r>
      </w:hyperlink>
    </w:p>
    <w:p w:rsidR="00E4170D" w:rsidRPr="00643A57" w:rsidRDefault="00E4170D" w:rsidP="008D745F">
      <w:pPr>
        <w:spacing w:after="0" w:line="360" w:lineRule="auto"/>
        <w:rPr>
          <w:rFonts w:ascii="Times New Roman" w:hAnsi="Times New Roman" w:cs="Times New Roman"/>
          <w:sz w:val="24"/>
          <w:szCs w:val="24"/>
          <w:lang w:val="en-GB"/>
        </w:rPr>
      </w:pPr>
      <w:r w:rsidRPr="00643A57">
        <w:rPr>
          <w:rFonts w:ascii="Times New Roman" w:hAnsi="Times New Roman" w:cs="Times New Roman"/>
          <w:sz w:val="24"/>
          <w:szCs w:val="24"/>
          <w:lang w:val="en-GB"/>
        </w:rPr>
        <w:t>Accessed 23 March 2016.</w:t>
      </w:r>
    </w:p>
    <w:p w:rsidR="007350B5" w:rsidRPr="00643A57" w:rsidRDefault="007350B5" w:rsidP="008D745F">
      <w:pPr>
        <w:spacing w:after="0" w:line="360" w:lineRule="auto"/>
        <w:rPr>
          <w:rFonts w:ascii="Times New Roman" w:hAnsi="Times New Roman" w:cs="Times New Roman"/>
          <w:sz w:val="24"/>
          <w:szCs w:val="24"/>
          <w:lang w:val="en-GB"/>
        </w:rPr>
      </w:pPr>
    </w:p>
    <w:p w:rsidR="007350B5" w:rsidRPr="00CB0B3B"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Van Huylenbroeck, G., D’Haese, M. </w:t>
      </w:r>
      <w:r w:rsidR="00891ED5" w:rsidRPr="00CB0B3B">
        <w:rPr>
          <w:rFonts w:ascii="Times New Roman" w:hAnsi="Times New Roman" w:cs="Times New Roman"/>
          <w:sz w:val="24"/>
          <w:szCs w:val="24"/>
        </w:rPr>
        <w:t>a</w:t>
      </w:r>
      <w:r w:rsidRPr="00CB0B3B">
        <w:rPr>
          <w:rFonts w:ascii="Times New Roman" w:hAnsi="Times New Roman" w:cs="Times New Roman"/>
          <w:sz w:val="24"/>
          <w:szCs w:val="24"/>
        </w:rPr>
        <w:t>nd Verspecht</w:t>
      </w:r>
      <w:r w:rsidR="00891ED5" w:rsidRPr="00CB0B3B">
        <w:rPr>
          <w:rFonts w:ascii="Times New Roman" w:hAnsi="Times New Roman" w:cs="Times New Roman"/>
          <w:sz w:val="24"/>
          <w:szCs w:val="24"/>
        </w:rPr>
        <w:t>, A.</w:t>
      </w:r>
      <w:r w:rsidRPr="00CB0B3B">
        <w:rPr>
          <w:rFonts w:ascii="Times New Roman" w:hAnsi="Times New Roman" w:cs="Times New Roman"/>
          <w:sz w:val="24"/>
          <w:szCs w:val="24"/>
        </w:rPr>
        <w:t xml:space="preserve"> </w:t>
      </w:r>
      <w:r w:rsidR="00FA385E" w:rsidRPr="00CB0B3B">
        <w:rPr>
          <w:rFonts w:ascii="Times New Roman" w:hAnsi="Times New Roman" w:cs="Times New Roman"/>
          <w:sz w:val="24"/>
          <w:szCs w:val="24"/>
        </w:rPr>
        <w:t xml:space="preserve"> </w:t>
      </w:r>
      <w:r w:rsidRPr="00CB0B3B">
        <w:rPr>
          <w:rFonts w:ascii="Times New Roman" w:hAnsi="Times New Roman" w:cs="Times New Roman"/>
          <w:sz w:val="24"/>
          <w:szCs w:val="24"/>
        </w:rPr>
        <w:t xml:space="preserve"> </w:t>
      </w:r>
      <w:r w:rsidR="00171FE3" w:rsidRPr="00CB0B3B">
        <w:rPr>
          <w:rFonts w:ascii="Times New Roman" w:hAnsi="Times New Roman" w:cs="Times New Roman"/>
          <w:i/>
          <w:sz w:val="24"/>
          <w:szCs w:val="24"/>
        </w:rPr>
        <w:t>Methodology for analysing private transaction costs</w:t>
      </w:r>
      <w:r w:rsidRPr="00CB0B3B">
        <w:rPr>
          <w:rFonts w:ascii="Times New Roman" w:hAnsi="Times New Roman" w:cs="Times New Roman"/>
          <w:sz w:val="24"/>
          <w:szCs w:val="24"/>
        </w:rPr>
        <w:t>.  EU 6th F</w:t>
      </w:r>
      <w:r w:rsidR="00E4170D">
        <w:rPr>
          <w:rFonts w:ascii="Times New Roman" w:hAnsi="Times New Roman" w:cs="Times New Roman"/>
          <w:sz w:val="24"/>
          <w:szCs w:val="24"/>
        </w:rPr>
        <w:t>ramework Programme, Priority 8</w:t>
      </w:r>
      <w:r w:rsidR="00FA385E" w:rsidRPr="00CB0B3B">
        <w:rPr>
          <w:rFonts w:ascii="Times New Roman" w:hAnsi="Times New Roman" w:cs="Times New Roman"/>
          <w:sz w:val="24"/>
          <w:szCs w:val="24"/>
        </w:rPr>
        <w:t>,</w:t>
      </w:r>
      <w:r w:rsidRPr="00CB0B3B">
        <w:rPr>
          <w:rFonts w:ascii="Times New Roman" w:hAnsi="Times New Roman" w:cs="Times New Roman"/>
          <w:sz w:val="24"/>
          <w:szCs w:val="24"/>
        </w:rPr>
        <w:t xml:space="preserve"> Document number: ITAES WP6 P3 D5.</w:t>
      </w:r>
      <w:r w:rsidR="00E4170D">
        <w:rPr>
          <w:rFonts w:ascii="Times New Roman" w:hAnsi="Times New Roman" w:cs="Times New Roman"/>
          <w:sz w:val="24"/>
          <w:szCs w:val="24"/>
        </w:rPr>
        <w:t xml:space="preserve"> (2005). Commission of the European Communities, Brussels.</w:t>
      </w:r>
    </w:p>
    <w:p w:rsidR="00976970" w:rsidRPr="00CB0B3B" w:rsidRDefault="00976970" w:rsidP="008D745F">
      <w:pPr>
        <w:spacing w:after="0" w:line="360" w:lineRule="auto"/>
        <w:rPr>
          <w:rFonts w:ascii="Times New Roman" w:hAnsi="Times New Roman" w:cs="Times New Roman"/>
          <w:sz w:val="24"/>
          <w:szCs w:val="24"/>
        </w:rPr>
      </w:pPr>
    </w:p>
    <w:p w:rsidR="00976970" w:rsidRDefault="00976970"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Whitby, M.  Challenges and options for the UK agric-environment: Presidential Address.  </w:t>
      </w:r>
      <w:r w:rsidR="001B6DE9" w:rsidRPr="00CB0B3B">
        <w:rPr>
          <w:rFonts w:ascii="Times New Roman" w:hAnsi="Times New Roman" w:cs="Times New Roman"/>
          <w:i/>
          <w:sz w:val="24"/>
          <w:szCs w:val="24"/>
        </w:rPr>
        <w:t>Journal of Agricultural Economics</w:t>
      </w:r>
      <w:r w:rsidRPr="00CB0B3B">
        <w:rPr>
          <w:rFonts w:ascii="Times New Roman" w:hAnsi="Times New Roman" w:cs="Times New Roman"/>
          <w:sz w:val="24"/>
          <w:szCs w:val="24"/>
        </w:rPr>
        <w:t xml:space="preserve">, </w:t>
      </w:r>
      <w:r w:rsidR="005220FC" w:rsidRPr="00CB0B3B">
        <w:rPr>
          <w:rFonts w:ascii="Times New Roman" w:hAnsi="Times New Roman" w:cs="Times New Roman"/>
          <w:sz w:val="24"/>
          <w:szCs w:val="24"/>
        </w:rPr>
        <w:t>V</w:t>
      </w:r>
      <w:r w:rsidRPr="00CB0B3B">
        <w:rPr>
          <w:rFonts w:ascii="Times New Roman" w:hAnsi="Times New Roman" w:cs="Times New Roman"/>
          <w:sz w:val="24"/>
          <w:szCs w:val="24"/>
        </w:rPr>
        <w:t>ol.51 (2000) pp.317-332.</w:t>
      </w:r>
    </w:p>
    <w:p w:rsidR="00E331BF" w:rsidRPr="00CB0B3B" w:rsidRDefault="00E331BF" w:rsidP="008D745F">
      <w:pPr>
        <w:spacing w:after="0" w:line="360" w:lineRule="auto"/>
        <w:rPr>
          <w:rFonts w:ascii="Times New Roman" w:hAnsi="Times New Roman" w:cs="Times New Roman"/>
          <w:sz w:val="24"/>
          <w:szCs w:val="24"/>
        </w:rPr>
      </w:pPr>
    </w:p>
    <w:p w:rsidR="00E331BF" w:rsidRPr="00E331BF" w:rsidRDefault="00E4170D" w:rsidP="00E331BF">
      <w:pPr>
        <w:spacing w:after="0" w:line="360" w:lineRule="auto"/>
        <w:rPr>
          <w:rFonts w:ascii="Times New Roman" w:hAnsi="Times New Roman" w:cs="Times New Roman"/>
          <w:sz w:val="24"/>
          <w:szCs w:val="24"/>
        </w:rPr>
      </w:pPr>
      <w:r>
        <w:rPr>
          <w:rFonts w:ascii="Times New Roman" w:hAnsi="Times New Roman" w:cs="Times New Roman"/>
          <w:sz w:val="24"/>
          <w:szCs w:val="24"/>
        </w:rPr>
        <w:t>Williamson, O.E.</w:t>
      </w:r>
      <w:r w:rsidR="00E331BF" w:rsidRPr="00E331BF">
        <w:rPr>
          <w:rFonts w:ascii="Times New Roman" w:hAnsi="Times New Roman" w:cs="Times New Roman"/>
          <w:sz w:val="24"/>
          <w:szCs w:val="24"/>
        </w:rPr>
        <w:t xml:space="preserve">, </w:t>
      </w:r>
      <w:r w:rsidR="00E331BF" w:rsidRPr="00E4170D">
        <w:rPr>
          <w:rFonts w:ascii="Times New Roman" w:hAnsi="Times New Roman" w:cs="Times New Roman"/>
          <w:i/>
          <w:sz w:val="24"/>
          <w:szCs w:val="24"/>
        </w:rPr>
        <w:t>Markets and Hierarchies: Analysis and Antitrust Implications.</w:t>
      </w:r>
      <w:r w:rsidR="00E331BF" w:rsidRPr="00E331BF">
        <w:rPr>
          <w:rFonts w:ascii="Times New Roman" w:hAnsi="Times New Roman" w:cs="Times New Roman"/>
          <w:sz w:val="24"/>
          <w:szCs w:val="24"/>
        </w:rPr>
        <w:t xml:space="preserve"> </w:t>
      </w:r>
      <w:r>
        <w:rPr>
          <w:rFonts w:ascii="Times New Roman" w:hAnsi="Times New Roman" w:cs="Times New Roman"/>
          <w:sz w:val="24"/>
          <w:szCs w:val="24"/>
        </w:rPr>
        <w:t xml:space="preserve">(2005) Free Press, </w:t>
      </w:r>
      <w:r w:rsidR="00E331BF" w:rsidRPr="00E331BF">
        <w:rPr>
          <w:rFonts w:ascii="Times New Roman" w:hAnsi="Times New Roman" w:cs="Times New Roman"/>
          <w:sz w:val="24"/>
          <w:szCs w:val="24"/>
        </w:rPr>
        <w:t>New York.</w:t>
      </w:r>
    </w:p>
    <w:p w:rsidR="00E331BF" w:rsidRDefault="00E331BF" w:rsidP="00E331BF">
      <w:pPr>
        <w:spacing w:after="0" w:line="360" w:lineRule="auto"/>
        <w:rPr>
          <w:rFonts w:ascii="Times New Roman" w:hAnsi="Times New Roman" w:cs="Times New Roman"/>
          <w:sz w:val="24"/>
          <w:szCs w:val="24"/>
        </w:rPr>
      </w:pPr>
    </w:p>
    <w:p w:rsidR="007350B5" w:rsidRPr="00CB0B3B" w:rsidRDefault="00E331BF" w:rsidP="00E331BF">
      <w:pPr>
        <w:spacing w:after="0" w:line="360" w:lineRule="auto"/>
        <w:rPr>
          <w:rFonts w:ascii="Times New Roman" w:hAnsi="Times New Roman" w:cs="Times New Roman"/>
          <w:sz w:val="24"/>
          <w:szCs w:val="24"/>
        </w:rPr>
      </w:pPr>
      <w:r w:rsidRPr="00E331BF">
        <w:rPr>
          <w:rFonts w:ascii="Times New Roman" w:hAnsi="Times New Roman" w:cs="Times New Roman"/>
          <w:sz w:val="24"/>
          <w:szCs w:val="24"/>
        </w:rPr>
        <w:t xml:space="preserve">Williamson, O.E. The Mechanisms of Governance. </w:t>
      </w:r>
      <w:r w:rsidR="00E4170D">
        <w:rPr>
          <w:rFonts w:ascii="Times New Roman" w:hAnsi="Times New Roman" w:cs="Times New Roman"/>
          <w:sz w:val="24"/>
          <w:szCs w:val="24"/>
        </w:rPr>
        <w:t xml:space="preserve">(1996) </w:t>
      </w:r>
      <w:r w:rsidRPr="00E331BF">
        <w:rPr>
          <w:rFonts w:ascii="Times New Roman" w:hAnsi="Times New Roman" w:cs="Times New Roman"/>
          <w:sz w:val="24"/>
          <w:szCs w:val="24"/>
        </w:rPr>
        <w:t>Oxford University Press</w:t>
      </w:r>
      <w:r w:rsidR="00E4170D">
        <w:rPr>
          <w:rFonts w:ascii="Times New Roman" w:hAnsi="Times New Roman" w:cs="Times New Roman"/>
          <w:sz w:val="24"/>
          <w:szCs w:val="24"/>
        </w:rPr>
        <w:t>, New York</w:t>
      </w:r>
      <w:r w:rsidRPr="00E331BF">
        <w:rPr>
          <w:rFonts w:ascii="Times New Roman" w:hAnsi="Times New Roman" w:cs="Times New Roman"/>
          <w:sz w:val="24"/>
          <w:szCs w:val="24"/>
        </w:rPr>
        <w:t>.</w:t>
      </w:r>
    </w:p>
    <w:p w:rsidR="00E331BF" w:rsidRDefault="00E331BF" w:rsidP="008D745F">
      <w:pPr>
        <w:spacing w:after="0" w:line="360" w:lineRule="auto"/>
        <w:rPr>
          <w:rFonts w:ascii="Times New Roman" w:hAnsi="Times New Roman" w:cs="Times New Roman"/>
          <w:sz w:val="24"/>
          <w:szCs w:val="24"/>
        </w:rPr>
      </w:pPr>
    </w:p>
    <w:p w:rsidR="007350B5" w:rsidRDefault="007350B5"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t xml:space="preserve">Williamson, O. E.  </w:t>
      </w:r>
      <w:r w:rsidR="00FA385E" w:rsidRPr="00CB0B3B">
        <w:rPr>
          <w:rFonts w:ascii="Times New Roman" w:hAnsi="Times New Roman" w:cs="Times New Roman"/>
          <w:sz w:val="24"/>
          <w:szCs w:val="24"/>
        </w:rPr>
        <w:t>‘</w:t>
      </w:r>
      <w:r w:rsidRPr="00CB0B3B">
        <w:rPr>
          <w:rFonts w:ascii="Times New Roman" w:hAnsi="Times New Roman" w:cs="Times New Roman"/>
          <w:sz w:val="24"/>
          <w:szCs w:val="24"/>
        </w:rPr>
        <w:t>The economics of organization: the transaction cost approach</w:t>
      </w:r>
      <w:r w:rsidR="00FA385E" w:rsidRPr="00CB0B3B">
        <w:rPr>
          <w:rFonts w:ascii="Times New Roman" w:hAnsi="Times New Roman" w:cs="Times New Roman"/>
          <w:sz w:val="24"/>
          <w:szCs w:val="24"/>
        </w:rPr>
        <w:t>’</w:t>
      </w:r>
      <w:r w:rsidRPr="00CB0B3B">
        <w:rPr>
          <w:rFonts w:ascii="Times New Roman" w:hAnsi="Times New Roman" w:cs="Times New Roman"/>
          <w:sz w:val="24"/>
          <w:szCs w:val="24"/>
        </w:rPr>
        <w:t xml:space="preserve">.  The </w:t>
      </w:r>
      <w:r w:rsidRPr="00CB0B3B">
        <w:rPr>
          <w:rFonts w:ascii="Times New Roman" w:hAnsi="Times New Roman" w:cs="Times New Roman"/>
          <w:i/>
          <w:sz w:val="24"/>
          <w:szCs w:val="24"/>
        </w:rPr>
        <w:t>American Journal of Sociology</w:t>
      </w:r>
      <w:r w:rsidRPr="00CB0B3B">
        <w:rPr>
          <w:rFonts w:ascii="Times New Roman" w:hAnsi="Times New Roman" w:cs="Times New Roman"/>
          <w:sz w:val="24"/>
          <w:szCs w:val="24"/>
        </w:rPr>
        <w:t>, Vol.87</w:t>
      </w:r>
      <w:r w:rsidR="00FA385E" w:rsidRPr="00CB0B3B">
        <w:rPr>
          <w:rFonts w:ascii="Times New Roman" w:hAnsi="Times New Roman" w:cs="Times New Roman"/>
          <w:sz w:val="24"/>
          <w:szCs w:val="24"/>
        </w:rPr>
        <w:t xml:space="preserve"> (1981) </w:t>
      </w:r>
      <w:r w:rsidRPr="00CB0B3B">
        <w:rPr>
          <w:rFonts w:ascii="Times New Roman" w:hAnsi="Times New Roman" w:cs="Times New Roman"/>
          <w:sz w:val="24"/>
          <w:szCs w:val="24"/>
        </w:rPr>
        <w:t>pp.548-577.</w:t>
      </w:r>
    </w:p>
    <w:p w:rsidR="0004049A" w:rsidRDefault="0004049A" w:rsidP="008D745F">
      <w:pPr>
        <w:spacing w:after="0" w:line="360" w:lineRule="auto"/>
        <w:rPr>
          <w:rFonts w:ascii="Times New Roman" w:hAnsi="Times New Roman" w:cs="Times New Roman"/>
          <w:sz w:val="24"/>
          <w:szCs w:val="24"/>
        </w:rPr>
      </w:pPr>
    </w:p>
    <w:p w:rsidR="00663891" w:rsidRPr="00CB0B3B" w:rsidRDefault="0004049A" w:rsidP="008D745F">
      <w:pPr>
        <w:spacing w:after="0" w:line="360" w:lineRule="auto"/>
        <w:rPr>
          <w:rFonts w:ascii="Times New Roman" w:hAnsi="Times New Roman" w:cs="Times New Roman"/>
          <w:sz w:val="24"/>
          <w:szCs w:val="24"/>
        </w:rPr>
      </w:pPr>
      <w:r w:rsidRPr="00CB0B3B">
        <w:rPr>
          <w:rFonts w:ascii="Times New Roman" w:hAnsi="Times New Roman" w:cs="Times New Roman"/>
          <w:sz w:val="24"/>
          <w:szCs w:val="24"/>
        </w:rPr>
        <w:lastRenderedPageBreak/>
        <w:t xml:space="preserve">Williamson, O. E.  </w:t>
      </w:r>
      <w:r w:rsidRPr="0004049A">
        <w:rPr>
          <w:rFonts w:ascii="Times New Roman" w:hAnsi="Times New Roman" w:cs="Times New Roman"/>
          <w:i/>
          <w:sz w:val="24"/>
          <w:szCs w:val="24"/>
        </w:rPr>
        <w:t>The Economic Institutions of Capitalism</w:t>
      </w:r>
      <w:r>
        <w:rPr>
          <w:rFonts w:ascii="Times New Roman" w:hAnsi="Times New Roman" w:cs="Times New Roman"/>
          <w:sz w:val="24"/>
          <w:szCs w:val="24"/>
        </w:rPr>
        <w:t xml:space="preserve">. </w:t>
      </w:r>
      <w:r w:rsidR="00E4170D">
        <w:rPr>
          <w:rFonts w:ascii="Times New Roman" w:hAnsi="Times New Roman" w:cs="Times New Roman"/>
          <w:sz w:val="24"/>
          <w:szCs w:val="24"/>
        </w:rPr>
        <w:t>(1985)</w:t>
      </w:r>
      <w:r>
        <w:rPr>
          <w:rFonts w:ascii="Times New Roman" w:hAnsi="Times New Roman" w:cs="Times New Roman"/>
          <w:sz w:val="24"/>
          <w:szCs w:val="24"/>
        </w:rPr>
        <w:t xml:space="preserve"> The Free Press, </w:t>
      </w:r>
      <w:r w:rsidR="00B61D7F">
        <w:rPr>
          <w:rFonts w:ascii="Times New Roman" w:hAnsi="Times New Roman" w:cs="Times New Roman"/>
          <w:sz w:val="24"/>
          <w:szCs w:val="24"/>
        </w:rPr>
        <w:t>New York</w:t>
      </w:r>
      <w:r w:rsidR="00E4170D">
        <w:rPr>
          <w:rFonts w:ascii="Times New Roman" w:hAnsi="Times New Roman" w:cs="Times New Roman"/>
          <w:sz w:val="24"/>
          <w:szCs w:val="24"/>
        </w:rPr>
        <w:t>.</w:t>
      </w:r>
    </w:p>
    <w:sectPr w:rsidR="00663891" w:rsidRPr="00CB0B3B" w:rsidSect="008D0747">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5279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E96" w:rsidRDefault="00E35E96" w:rsidP="003B345F">
      <w:pPr>
        <w:spacing w:after="0" w:line="240" w:lineRule="auto"/>
      </w:pPr>
      <w:r>
        <w:separator/>
      </w:r>
    </w:p>
  </w:endnote>
  <w:endnote w:type="continuationSeparator" w:id="0">
    <w:p w:rsidR="00E35E96" w:rsidRDefault="00E35E96" w:rsidP="003B345F">
      <w:pPr>
        <w:spacing w:after="0" w:line="240" w:lineRule="auto"/>
      </w:pPr>
      <w:r>
        <w:continuationSeparator/>
      </w:r>
    </w:p>
  </w:endnote>
  <w:endnote w:type="continuationNotice" w:id="1">
    <w:p w:rsidR="00E35E96" w:rsidRDefault="00E35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7776"/>
      <w:docPartObj>
        <w:docPartGallery w:val="Page Numbers (Bottom of Page)"/>
        <w:docPartUnique/>
      </w:docPartObj>
    </w:sdtPr>
    <w:sdtEndPr/>
    <w:sdtContent>
      <w:p w:rsidR="006D6A4D" w:rsidRDefault="006D6A4D">
        <w:pPr>
          <w:pStyle w:val="Footer"/>
          <w:jc w:val="right"/>
        </w:pPr>
        <w:r>
          <w:fldChar w:fldCharType="begin"/>
        </w:r>
        <w:r>
          <w:instrText xml:space="preserve"> PAGE   \* MERGEFORMAT </w:instrText>
        </w:r>
        <w:r>
          <w:fldChar w:fldCharType="separate"/>
        </w:r>
        <w:r w:rsidR="0065331D">
          <w:rPr>
            <w:noProof/>
          </w:rPr>
          <w:t>2</w:t>
        </w:r>
        <w:r>
          <w:rPr>
            <w:noProof/>
          </w:rPr>
          <w:fldChar w:fldCharType="end"/>
        </w:r>
      </w:p>
    </w:sdtContent>
  </w:sdt>
  <w:p w:rsidR="006D6A4D" w:rsidRDefault="006D6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4D" w:rsidRDefault="006D6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E96" w:rsidRDefault="00E35E96" w:rsidP="003B345F">
      <w:pPr>
        <w:spacing w:after="0" w:line="240" w:lineRule="auto"/>
      </w:pPr>
      <w:r>
        <w:separator/>
      </w:r>
    </w:p>
  </w:footnote>
  <w:footnote w:type="continuationSeparator" w:id="0">
    <w:p w:rsidR="00E35E96" w:rsidRDefault="00E35E96" w:rsidP="003B345F">
      <w:pPr>
        <w:spacing w:after="0" w:line="240" w:lineRule="auto"/>
      </w:pPr>
      <w:r>
        <w:continuationSeparator/>
      </w:r>
    </w:p>
  </w:footnote>
  <w:footnote w:type="continuationNotice" w:id="1">
    <w:p w:rsidR="00E35E96" w:rsidRDefault="00E35E96">
      <w:pPr>
        <w:spacing w:after="0" w:line="240" w:lineRule="auto"/>
      </w:pPr>
    </w:p>
  </w:footnote>
  <w:footnote w:id="2">
    <w:p w:rsidR="006D6A4D" w:rsidRPr="00C51760" w:rsidRDefault="006D6A4D" w:rsidP="00462F7D">
      <w:pPr>
        <w:pStyle w:val="FootnoteText"/>
        <w:ind w:left="567" w:hanging="567"/>
        <w:rPr>
          <w:rFonts w:ascii="Times New Roman" w:hAnsi="Times New Roman" w:cs="Times New Roman"/>
        </w:rPr>
      </w:pPr>
      <w:r>
        <w:rPr>
          <w:rStyle w:val="FootnoteReference"/>
        </w:rPr>
        <w:footnoteRef/>
      </w:r>
      <w:r>
        <w:t xml:space="preserve"> </w:t>
      </w:r>
      <w:r>
        <w:tab/>
      </w:r>
      <w:r w:rsidRPr="00C51760">
        <w:rPr>
          <w:rFonts w:ascii="Times New Roman" w:hAnsi="Times New Roman" w:cs="Times New Roman"/>
        </w:rPr>
        <w:t xml:space="preserve">Janet Dwyer, Director of CCRI and Professor of Rural Policy, University of Gloucestershire, UK. </w:t>
      </w:r>
      <w:hyperlink r:id="rId1" w:history="1">
        <w:r w:rsidRPr="00C51760">
          <w:rPr>
            <w:rStyle w:val="Hyperlink"/>
            <w:rFonts w:ascii="Times New Roman" w:hAnsi="Times New Roman" w:cs="Times New Roman"/>
          </w:rPr>
          <w:t>Jdwyer@glos.ac.uk</w:t>
        </w:r>
      </w:hyperlink>
      <w:r w:rsidRPr="00C51760">
        <w:rPr>
          <w:rFonts w:ascii="Times New Roman" w:hAnsi="Times New Roman" w:cs="Times New Roman"/>
        </w:rPr>
        <w:t xml:space="preserve">. John Powell, Senior Research Fellow, CCRI, University of Gloucestershire, UK. </w:t>
      </w:r>
      <w:hyperlink r:id="rId2" w:history="1">
        <w:r w:rsidRPr="00C51760">
          <w:rPr>
            <w:rStyle w:val="Hyperlink"/>
            <w:rFonts w:ascii="Times New Roman" w:hAnsi="Times New Roman" w:cs="Times New Roman"/>
          </w:rPr>
          <w:t>jpowell@glos.ac.uk</w:t>
        </w:r>
      </w:hyperlink>
      <w:r w:rsidRPr="00C51760">
        <w:rPr>
          <w:rFonts w:ascii="Times New Roman" w:hAnsi="Times New Roman" w:cs="Times New Roman"/>
        </w:rPr>
        <w:t xml:space="preserve">. </w:t>
      </w:r>
    </w:p>
    <w:p w:rsidR="006D6A4D" w:rsidRPr="00462F7D" w:rsidRDefault="006D6A4D" w:rsidP="00462F7D">
      <w:pPr>
        <w:pStyle w:val="FootnoteText"/>
        <w:ind w:left="567" w:hanging="567"/>
        <w:rPr>
          <w:color w:val="FF0000"/>
        </w:rPr>
      </w:pPr>
      <w:r w:rsidRPr="00C51760">
        <w:rPr>
          <w:rFonts w:ascii="Times New Roman" w:hAnsi="Times New Roman" w:cs="Times New Roman"/>
        </w:rPr>
        <w:t xml:space="preserve">We are grateful to the Ministry of Rural Affairs, Malta, and to Defra, </w:t>
      </w:r>
      <w:r>
        <w:rPr>
          <w:rFonts w:ascii="Times New Roman" w:hAnsi="Times New Roman" w:cs="Times New Roman"/>
        </w:rPr>
        <w:t xml:space="preserve">UK, for the opportunity to study </w:t>
      </w:r>
      <w:r w:rsidRPr="00C51760">
        <w:rPr>
          <w:rFonts w:ascii="Times New Roman" w:hAnsi="Times New Roman" w:cs="Times New Roman"/>
        </w:rPr>
        <w:t xml:space="preserve">their respective RDPs, </w:t>
      </w:r>
      <w:r>
        <w:rPr>
          <w:rFonts w:ascii="Times New Roman" w:hAnsi="Times New Roman" w:cs="Times New Roman"/>
        </w:rPr>
        <w:t>enabling</w:t>
      </w:r>
      <w:r w:rsidRPr="00C51760">
        <w:rPr>
          <w:rFonts w:ascii="Times New Roman" w:hAnsi="Times New Roman" w:cs="Times New Roman"/>
        </w:rPr>
        <w:t xml:space="preserve"> this analysis. However, views expressed in this paper remain solely the authors</w:t>
      </w:r>
      <w:r>
        <w:rPr>
          <w:rFonts w:ascii="Times New Roman" w:hAnsi="Times New Roman" w:cs="Times New Roman"/>
        </w:rPr>
        <w:t>’</w:t>
      </w:r>
      <w:r w:rsidRPr="00C51760">
        <w:rPr>
          <w:rFonts w:ascii="Times New Roman" w:hAnsi="Times New Roman" w:cs="Times New Roman"/>
        </w:rPr>
        <w:t xml:space="preserve">. </w:t>
      </w:r>
      <w:r w:rsidRPr="00C51760">
        <w:rPr>
          <w:rFonts w:ascii="Times New Roman" w:hAnsi="Times New Roman" w:cs="Times New Roman"/>
        </w:rPr>
        <w:tab/>
      </w:r>
      <w:r w:rsidRPr="00C51760">
        <w:rPr>
          <w:rFonts w:ascii="Times New Roman" w:hAnsi="Times New Roman" w:cs="Times New Roman"/>
          <w:color w:val="FF0000"/>
        </w:rPr>
        <w:t>.</w:t>
      </w:r>
    </w:p>
  </w:footnote>
  <w:footnote w:id="3">
    <w:p w:rsidR="006D6A4D" w:rsidRPr="006B7007" w:rsidRDefault="006D6A4D">
      <w:pPr>
        <w:pStyle w:val="FootnoteText"/>
        <w:rPr>
          <w:rFonts w:ascii="Times New Roman" w:hAnsi="Times New Roman" w:cs="Times New Roman"/>
        </w:rPr>
      </w:pPr>
      <w:r w:rsidRPr="006B7007">
        <w:rPr>
          <w:rStyle w:val="FootnoteReference"/>
          <w:rFonts w:ascii="Times New Roman" w:hAnsi="Times New Roman" w:cs="Times New Roman"/>
        </w:rPr>
        <w:footnoteRef/>
      </w:r>
      <w:r w:rsidRPr="006B7007">
        <w:rPr>
          <w:rFonts w:ascii="Times New Roman" w:hAnsi="Times New Roman" w:cs="Times New Roman"/>
        </w:rPr>
        <w:t xml:space="preserve"> A fourth Axis was methodological, supporting th</w:t>
      </w:r>
      <w:r>
        <w:rPr>
          <w:rFonts w:ascii="Times New Roman" w:hAnsi="Times New Roman" w:cs="Times New Roman"/>
        </w:rPr>
        <w:t>e use of the LEADER approach (EC, 2005)</w:t>
      </w:r>
      <w:r w:rsidRPr="006B7007">
        <w:rPr>
          <w:rFonts w:ascii="Times New Roman" w:hAnsi="Times New Roman" w:cs="Times New Roman"/>
        </w:rPr>
        <w:t>.</w:t>
      </w:r>
    </w:p>
  </w:footnote>
  <w:footnote w:id="4">
    <w:p w:rsidR="006D6A4D" w:rsidRDefault="006D6A4D" w:rsidP="00BC01D2">
      <w:pPr>
        <w:pStyle w:val="FootnoteText"/>
        <w:ind w:left="567" w:hanging="567"/>
      </w:pPr>
      <w:r>
        <w:rPr>
          <w:rStyle w:val="FootnoteReference"/>
        </w:rPr>
        <w:footnoteRef/>
      </w:r>
      <w:r>
        <w:t xml:space="preserve"> </w:t>
      </w:r>
      <w:r>
        <w:tab/>
      </w:r>
      <w:r w:rsidRPr="00BC01D2">
        <w:rPr>
          <w:rFonts w:ascii="Times New Roman" w:hAnsi="Times New Roman" w:cs="Times New Roman"/>
        </w:rPr>
        <w:t xml:space="preserve">Here, we use the terms ‘organization’ and ‘institution’ in their new institutional economics meanings: “organization” is the structure of relations among </w:t>
      </w:r>
      <w:r>
        <w:rPr>
          <w:rFonts w:ascii="Times New Roman" w:hAnsi="Times New Roman" w:cs="Times New Roman"/>
        </w:rPr>
        <w:t>actors</w:t>
      </w:r>
      <w:r w:rsidRPr="00BC01D2">
        <w:rPr>
          <w:rFonts w:ascii="Times New Roman" w:hAnsi="Times New Roman" w:cs="Times New Roman"/>
        </w:rPr>
        <w:t>, and “institutions” are the rules</w:t>
      </w:r>
      <w:r>
        <w:rPr>
          <w:rFonts w:ascii="Times New Roman" w:hAnsi="Times New Roman" w:cs="Times New Roman"/>
        </w:rPr>
        <w:t>, codes</w:t>
      </w:r>
      <w:r w:rsidRPr="00BC01D2">
        <w:rPr>
          <w:rFonts w:ascii="Times New Roman" w:hAnsi="Times New Roman" w:cs="Times New Roman"/>
        </w:rPr>
        <w:t xml:space="preserve"> </w:t>
      </w:r>
      <w:r>
        <w:rPr>
          <w:rFonts w:ascii="Times New Roman" w:hAnsi="Times New Roman" w:cs="Times New Roman"/>
        </w:rPr>
        <w:t xml:space="preserve">and habits </w:t>
      </w:r>
      <w:r w:rsidRPr="00BC01D2">
        <w:rPr>
          <w:rFonts w:ascii="Times New Roman" w:hAnsi="Times New Roman" w:cs="Times New Roman"/>
        </w:rPr>
        <w:t xml:space="preserve">of </w:t>
      </w:r>
      <w:r>
        <w:rPr>
          <w:rFonts w:ascii="Times New Roman" w:hAnsi="Times New Roman" w:cs="Times New Roman"/>
        </w:rPr>
        <w:t>behaviour governing</w:t>
      </w:r>
      <w:r w:rsidRPr="00BC01D2">
        <w:rPr>
          <w:rFonts w:ascii="Times New Roman" w:hAnsi="Times New Roman" w:cs="Times New Roman"/>
        </w:rPr>
        <w:t xml:space="preserve"> </w:t>
      </w:r>
      <w:r>
        <w:rPr>
          <w:rFonts w:ascii="Times New Roman" w:hAnsi="Times New Roman" w:cs="Times New Roman"/>
        </w:rPr>
        <w:t>socio-</w:t>
      </w:r>
      <w:r w:rsidRPr="00BC01D2">
        <w:rPr>
          <w:rFonts w:ascii="Times New Roman" w:hAnsi="Times New Roman" w:cs="Times New Roman"/>
        </w:rPr>
        <w:t>economic relations (North, 1990; Williamson, 1975, 1996</w:t>
      </w:r>
      <w:r>
        <w:t xml:space="preserve">) </w:t>
      </w:r>
    </w:p>
  </w:footnote>
  <w:footnote w:id="5">
    <w:p w:rsidR="006D6A4D" w:rsidRPr="005F3BDA" w:rsidRDefault="006D6A4D" w:rsidP="005F3BDA">
      <w:pPr>
        <w:pStyle w:val="FootnoteText"/>
        <w:ind w:left="567" w:hanging="567"/>
      </w:pPr>
      <w:r>
        <w:rPr>
          <w:rStyle w:val="FootnoteReference"/>
        </w:rPr>
        <w:footnoteRef/>
      </w:r>
      <w:r>
        <w:t xml:space="preserve">          </w:t>
      </w:r>
      <w:r w:rsidRPr="005F3BDA">
        <w:rPr>
          <w:rFonts w:ascii="Times New Roman" w:hAnsi="Times New Roman" w:cs="Times New Roman"/>
        </w:rPr>
        <w:t xml:space="preserve">Although others e.g. Harvey (2008) argue for a still broader definition whereby transactions and their nature are viewed as central to </w:t>
      </w:r>
      <w:r>
        <w:rPr>
          <w:rFonts w:ascii="Times New Roman" w:hAnsi="Times New Roman" w:cs="Times New Roman"/>
        </w:rPr>
        <w:t xml:space="preserve">all forms of </w:t>
      </w:r>
      <w:r w:rsidRPr="005F3BDA">
        <w:rPr>
          <w:rFonts w:ascii="Times New Roman" w:hAnsi="Times New Roman" w:cs="Times New Roman"/>
        </w:rPr>
        <w:t>social evolution, a focus upon transfer as a key policy activity and stimulus for transactions seems pertinent to our sphere of analysis</w:t>
      </w:r>
      <w:r w:rsidRPr="005F3BDA">
        <w:t>.</w:t>
      </w:r>
    </w:p>
  </w:footnote>
  <w:footnote w:id="6">
    <w:p w:rsidR="006D6A4D" w:rsidRDefault="006D6A4D" w:rsidP="001149A8">
      <w:pPr>
        <w:pStyle w:val="FootnoteText"/>
        <w:ind w:left="567" w:hanging="567"/>
      </w:pPr>
      <w:r>
        <w:rPr>
          <w:rStyle w:val="FootnoteReference"/>
        </w:rPr>
        <w:footnoteRef/>
      </w:r>
      <w:r>
        <w:t xml:space="preserve"> </w:t>
      </w:r>
      <w:r>
        <w:tab/>
      </w:r>
      <w:r>
        <w:rPr>
          <w:rFonts w:ascii="Times New Roman" w:hAnsi="Times New Roman" w:cs="Times New Roman"/>
        </w:rPr>
        <w:t>At the time of writing (March 2016), RDP 2007-13</w:t>
      </w:r>
      <w:r w:rsidRPr="00E331BF">
        <w:rPr>
          <w:rFonts w:ascii="Times New Roman" w:hAnsi="Times New Roman" w:cs="Times New Roman"/>
          <w:i/>
        </w:rPr>
        <w:t xml:space="preserve"> ex-post</w:t>
      </w:r>
      <w:r>
        <w:rPr>
          <w:rFonts w:ascii="Times New Roman" w:hAnsi="Times New Roman" w:cs="Times New Roman"/>
        </w:rPr>
        <w:t xml:space="preserve"> </w:t>
      </w:r>
      <w:r w:rsidRPr="001149A8">
        <w:rPr>
          <w:rFonts w:ascii="Times New Roman" w:hAnsi="Times New Roman" w:cs="Times New Roman"/>
        </w:rPr>
        <w:t xml:space="preserve">evaluation </w:t>
      </w:r>
      <w:r>
        <w:rPr>
          <w:rFonts w:ascii="Times New Roman" w:hAnsi="Times New Roman" w:cs="Times New Roman"/>
        </w:rPr>
        <w:t xml:space="preserve">is now underway within the member states but no studies are yet complete. </w:t>
      </w:r>
    </w:p>
  </w:footnote>
  <w:footnote w:id="7">
    <w:p w:rsidR="006D6A4D" w:rsidRPr="001149A8" w:rsidRDefault="006D6A4D" w:rsidP="001149A8">
      <w:pPr>
        <w:pStyle w:val="FootnoteText"/>
        <w:ind w:left="567" w:hanging="567"/>
        <w:rPr>
          <w:rFonts w:ascii="Times New Roman" w:hAnsi="Times New Roman" w:cs="Times New Roman"/>
        </w:rPr>
      </w:pPr>
    </w:p>
  </w:footnote>
  <w:footnote w:id="8">
    <w:p w:rsidR="006D6A4D" w:rsidRPr="00B72766" w:rsidRDefault="006D6A4D">
      <w:pPr>
        <w:pStyle w:val="FootnoteText"/>
      </w:pPr>
      <w:r>
        <w:rPr>
          <w:rStyle w:val="FootnoteReference"/>
        </w:rPr>
        <w:footnoteRef/>
      </w:r>
      <w:r>
        <w:t xml:space="preserve"> </w:t>
      </w:r>
      <w:r w:rsidRPr="00B72766">
        <w:rPr>
          <w:rFonts w:ascii="Times New Roman" w:hAnsi="Times New Roman" w:cs="Times New Roman"/>
        </w:rPr>
        <w:t>The earliest European Structural Fund pro</w:t>
      </w:r>
      <w:r>
        <w:rPr>
          <w:rFonts w:ascii="Times New Roman" w:hAnsi="Times New Roman" w:cs="Times New Roman"/>
        </w:rPr>
        <w:t>grammes in England began in 1988</w:t>
      </w:r>
      <w:r w:rsidRPr="00B72766">
        <w:rPr>
          <w:rFonts w:ascii="Times New Roman" w:hAnsi="Times New Roman" w:cs="Times New Roman"/>
        </w:rPr>
        <w:t>.</w:t>
      </w:r>
    </w:p>
  </w:footnote>
  <w:footnote w:id="9">
    <w:p w:rsidR="006D6A4D" w:rsidRPr="00E65389" w:rsidRDefault="006D6A4D">
      <w:pPr>
        <w:pStyle w:val="FootnoteText"/>
        <w:rPr>
          <w:rFonts w:ascii="Times New Roman" w:hAnsi="Times New Roman" w:cs="Times New Roman"/>
          <w:lang w:val="en-GB"/>
        </w:rPr>
      </w:pPr>
      <w:r>
        <w:rPr>
          <w:rStyle w:val="FootnoteReference"/>
        </w:rPr>
        <w:footnoteRef/>
      </w:r>
      <w:r>
        <w:t xml:space="preserve"> </w:t>
      </w:r>
      <w:r w:rsidRPr="00E65389">
        <w:rPr>
          <w:rFonts w:ascii="Times New Roman" w:hAnsi="Times New Roman" w:cs="Times New Roman"/>
          <w:lang w:val="en-GB"/>
        </w:rPr>
        <w:t>Social Return On Investment methodology, as pioneered by the New Economics Foundation (20</w:t>
      </w:r>
      <w:r>
        <w:rPr>
          <w:rFonts w:ascii="Times New Roman" w:hAnsi="Times New Roman" w:cs="Times New Roman"/>
          <w:lang w:val="en-GB"/>
        </w:rPr>
        <w:t>09</w:t>
      </w:r>
      <w:r w:rsidRPr="00E65389">
        <w:rPr>
          <w:rFonts w:ascii="Times New Roman" w:hAnsi="Times New Roman" w:cs="Times New Roman"/>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099"/>
    <w:multiLevelType w:val="hybridMultilevel"/>
    <w:tmpl w:val="0E8C5C7C"/>
    <w:lvl w:ilvl="0" w:tplc="6FD84582">
      <w:start w:val="3"/>
      <w:numFmt w:val="bullet"/>
      <w:lvlText w:val="-"/>
      <w:lvlJc w:val="left"/>
      <w:pPr>
        <w:ind w:left="394" w:hanging="360"/>
      </w:pPr>
      <w:rPr>
        <w:rFonts w:ascii="Times New Roman" w:eastAsiaTheme="minorEastAsia"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nsid w:val="09232A8E"/>
    <w:multiLevelType w:val="hybridMultilevel"/>
    <w:tmpl w:val="8500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BB56CC"/>
    <w:multiLevelType w:val="hybridMultilevel"/>
    <w:tmpl w:val="17E2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981640"/>
    <w:multiLevelType w:val="multilevel"/>
    <w:tmpl w:val="B6FA49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0610B05"/>
    <w:multiLevelType w:val="hybridMultilevel"/>
    <w:tmpl w:val="F9FA759C"/>
    <w:lvl w:ilvl="0" w:tplc="F2A68A1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3218AF"/>
    <w:multiLevelType w:val="hybridMultilevel"/>
    <w:tmpl w:val="6CEAC36E"/>
    <w:lvl w:ilvl="0" w:tplc="04090001">
      <w:start w:val="1"/>
      <w:numFmt w:val="bullet"/>
      <w:lvlText w:val=""/>
      <w:lvlJc w:val="left"/>
      <w:pPr>
        <w:ind w:left="418" w:hanging="360"/>
      </w:pPr>
      <w:rPr>
        <w:rFonts w:ascii="Symbol" w:hAnsi="Symbol" w:hint="default"/>
      </w:rPr>
    </w:lvl>
    <w:lvl w:ilvl="1" w:tplc="08090003">
      <w:start w:val="1"/>
      <w:numFmt w:val="bullet"/>
      <w:lvlText w:val="o"/>
      <w:lvlJc w:val="left"/>
      <w:pPr>
        <w:ind w:left="1138" w:hanging="360"/>
      </w:pPr>
      <w:rPr>
        <w:rFonts w:ascii="Courier New" w:hAnsi="Courier New" w:cs="Courier New" w:hint="default"/>
      </w:rPr>
    </w:lvl>
    <w:lvl w:ilvl="2" w:tplc="08090005" w:tentative="1">
      <w:start w:val="1"/>
      <w:numFmt w:val="bullet"/>
      <w:lvlText w:val=""/>
      <w:lvlJc w:val="left"/>
      <w:pPr>
        <w:ind w:left="1858" w:hanging="360"/>
      </w:pPr>
      <w:rPr>
        <w:rFonts w:ascii="Wingdings" w:hAnsi="Wingdings" w:hint="default"/>
      </w:rPr>
    </w:lvl>
    <w:lvl w:ilvl="3" w:tplc="08090001" w:tentative="1">
      <w:start w:val="1"/>
      <w:numFmt w:val="bullet"/>
      <w:lvlText w:val=""/>
      <w:lvlJc w:val="left"/>
      <w:pPr>
        <w:ind w:left="2578" w:hanging="360"/>
      </w:pPr>
      <w:rPr>
        <w:rFonts w:ascii="Symbol" w:hAnsi="Symbol" w:hint="default"/>
      </w:rPr>
    </w:lvl>
    <w:lvl w:ilvl="4" w:tplc="08090003" w:tentative="1">
      <w:start w:val="1"/>
      <w:numFmt w:val="bullet"/>
      <w:lvlText w:val="o"/>
      <w:lvlJc w:val="left"/>
      <w:pPr>
        <w:ind w:left="3298" w:hanging="360"/>
      </w:pPr>
      <w:rPr>
        <w:rFonts w:ascii="Courier New" w:hAnsi="Courier New" w:cs="Courier New" w:hint="default"/>
      </w:rPr>
    </w:lvl>
    <w:lvl w:ilvl="5" w:tplc="08090005" w:tentative="1">
      <w:start w:val="1"/>
      <w:numFmt w:val="bullet"/>
      <w:lvlText w:val=""/>
      <w:lvlJc w:val="left"/>
      <w:pPr>
        <w:ind w:left="4018" w:hanging="360"/>
      </w:pPr>
      <w:rPr>
        <w:rFonts w:ascii="Wingdings" w:hAnsi="Wingdings" w:hint="default"/>
      </w:rPr>
    </w:lvl>
    <w:lvl w:ilvl="6" w:tplc="08090001" w:tentative="1">
      <w:start w:val="1"/>
      <w:numFmt w:val="bullet"/>
      <w:lvlText w:val=""/>
      <w:lvlJc w:val="left"/>
      <w:pPr>
        <w:ind w:left="4738" w:hanging="360"/>
      </w:pPr>
      <w:rPr>
        <w:rFonts w:ascii="Symbol" w:hAnsi="Symbol" w:hint="default"/>
      </w:rPr>
    </w:lvl>
    <w:lvl w:ilvl="7" w:tplc="08090003" w:tentative="1">
      <w:start w:val="1"/>
      <w:numFmt w:val="bullet"/>
      <w:lvlText w:val="o"/>
      <w:lvlJc w:val="left"/>
      <w:pPr>
        <w:ind w:left="5458" w:hanging="360"/>
      </w:pPr>
      <w:rPr>
        <w:rFonts w:ascii="Courier New" w:hAnsi="Courier New" w:cs="Courier New" w:hint="default"/>
      </w:rPr>
    </w:lvl>
    <w:lvl w:ilvl="8" w:tplc="08090005" w:tentative="1">
      <w:start w:val="1"/>
      <w:numFmt w:val="bullet"/>
      <w:lvlText w:val=""/>
      <w:lvlJc w:val="left"/>
      <w:pPr>
        <w:ind w:left="6178" w:hanging="360"/>
      </w:pPr>
      <w:rPr>
        <w:rFonts w:ascii="Wingdings" w:hAnsi="Wingdings" w:hint="default"/>
      </w:rPr>
    </w:lvl>
  </w:abstractNum>
  <w:abstractNum w:abstractNumId="6">
    <w:nsid w:val="26CC1D83"/>
    <w:multiLevelType w:val="hybridMultilevel"/>
    <w:tmpl w:val="B5B8F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B37F09"/>
    <w:multiLevelType w:val="hybridMultilevel"/>
    <w:tmpl w:val="83B4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077937"/>
    <w:multiLevelType w:val="hybridMultilevel"/>
    <w:tmpl w:val="06D8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2845A8"/>
    <w:multiLevelType w:val="hybridMultilevel"/>
    <w:tmpl w:val="02D03BB0"/>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0">
    <w:nsid w:val="4C1F0B8E"/>
    <w:multiLevelType w:val="hybridMultilevel"/>
    <w:tmpl w:val="E236C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15687B"/>
    <w:multiLevelType w:val="hybridMultilevel"/>
    <w:tmpl w:val="BC7C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C86E0D"/>
    <w:multiLevelType w:val="hybridMultilevel"/>
    <w:tmpl w:val="67549556"/>
    <w:lvl w:ilvl="0" w:tplc="00D2D0D8">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5610B7"/>
    <w:multiLevelType w:val="hybridMultilevel"/>
    <w:tmpl w:val="A81A63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4E1307"/>
    <w:multiLevelType w:val="hybridMultilevel"/>
    <w:tmpl w:val="564283D8"/>
    <w:lvl w:ilvl="0" w:tplc="08090001">
      <w:start w:val="1"/>
      <w:numFmt w:val="bullet"/>
      <w:lvlText w:val=""/>
      <w:lvlJc w:val="left"/>
      <w:pPr>
        <w:ind w:left="418" w:hanging="360"/>
      </w:pPr>
      <w:rPr>
        <w:rFonts w:ascii="Symbol" w:hAnsi="Symbol" w:hint="default"/>
      </w:rPr>
    </w:lvl>
    <w:lvl w:ilvl="1" w:tplc="08090003">
      <w:start w:val="1"/>
      <w:numFmt w:val="bullet"/>
      <w:lvlText w:val="o"/>
      <w:lvlJc w:val="left"/>
      <w:pPr>
        <w:ind w:left="1138" w:hanging="360"/>
      </w:pPr>
      <w:rPr>
        <w:rFonts w:ascii="Courier New" w:hAnsi="Courier New" w:cs="Courier New" w:hint="default"/>
      </w:rPr>
    </w:lvl>
    <w:lvl w:ilvl="2" w:tplc="08090005" w:tentative="1">
      <w:start w:val="1"/>
      <w:numFmt w:val="bullet"/>
      <w:lvlText w:val=""/>
      <w:lvlJc w:val="left"/>
      <w:pPr>
        <w:ind w:left="1858" w:hanging="360"/>
      </w:pPr>
      <w:rPr>
        <w:rFonts w:ascii="Wingdings" w:hAnsi="Wingdings" w:hint="default"/>
      </w:rPr>
    </w:lvl>
    <w:lvl w:ilvl="3" w:tplc="08090001" w:tentative="1">
      <w:start w:val="1"/>
      <w:numFmt w:val="bullet"/>
      <w:lvlText w:val=""/>
      <w:lvlJc w:val="left"/>
      <w:pPr>
        <w:ind w:left="2578" w:hanging="360"/>
      </w:pPr>
      <w:rPr>
        <w:rFonts w:ascii="Symbol" w:hAnsi="Symbol" w:hint="default"/>
      </w:rPr>
    </w:lvl>
    <w:lvl w:ilvl="4" w:tplc="08090003" w:tentative="1">
      <w:start w:val="1"/>
      <w:numFmt w:val="bullet"/>
      <w:lvlText w:val="o"/>
      <w:lvlJc w:val="left"/>
      <w:pPr>
        <w:ind w:left="3298" w:hanging="360"/>
      </w:pPr>
      <w:rPr>
        <w:rFonts w:ascii="Courier New" w:hAnsi="Courier New" w:cs="Courier New" w:hint="default"/>
      </w:rPr>
    </w:lvl>
    <w:lvl w:ilvl="5" w:tplc="08090005" w:tentative="1">
      <w:start w:val="1"/>
      <w:numFmt w:val="bullet"/>
      <w:lvlText w:val=""/>
      <w:lvlJc w:val="left"/>
      <w:pPr>
        <w:ind w:left="4018" w:hanging="360"/>
      </w:pPr>
      <w:rPr>
        <w:rFonts w:ascii="Wingdings" w:hAnsi="Wingdings" w:hint="default"/>
      </w:rPr>
    </w:lvl>
    <w:lvl w:ilvl="6" w:tplc="08090001" w:tentative="1">
      <w:start w:val="1"/>
      <w:numFmt w:val="bullet"/>
      <w:lvlText w:val=""/>
      <w:lvlJc w:val="left"/>
      <w:pPr>
        <w:ind w:left="4738" w:hanging="360"/>
      </w:pPr>
      <w:rPr>
        <w:rFonts w:ascii="Symbol" w:hAnsi="Symbol" w:hint="default"/>
      </w:rPr>
    </w:lvl>
    <w:lvl w:ilvl="7" w:tplc="08090003" w:tentative="1">
      <w:start w:val="1"/>
      <w:numFmt w:val="bullet"/>
      <w:lvlText w:val="o"/>
      <w:lvlJc w:val="left"/>
      <w:pPr>
        <w:ind w:left="5458" w:hanging="360"/>
      </w:pPr>
      <w:rPr>
        <w:rFonts w:ascii="Courier New" w:hAnsi="Courier New" w:cs="Courier New" w:hint="default"/>
      </w:rPr>
    </w:lvl>
    <w:lvl w:ilvl="8" w:tplc="08090005" w:tentative="1">
      <w:start w:val="1"/>
      <w:numFmt w:val="bullet"/>
      <w:lvlText w:val=""/>
      <w:lvlJc w:val="left"/>
      <w:pPr>
        <w:ind w:left="6178" w:hanging="360"/>
      </w:pPr>
      <w:rPr>
        <w:rFonts w:ascii="Wingdings" w:hAnsi="Wingdings" w:hint="default"/>
      </w:rPr>
    </w:lvl>
  </w:abstractNum>
  <w:abstractNum w:abstractNumId="15">
    <w:nsid w:val="72200CB3"/>
    <w:multiLevelType w:val="hybridMultilevel"/>
    <w:tmpl w:val="BF6C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E8183B"/>
    <w:multiLevelType w:val="multilevel"/>
    <w:tmpl w:val="AE5A5A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D3C4B82"/>
    <w:multiLevelType w:val="hybridMultilevel"/>
    <w:tmpl w:val="EB3E3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8"/>
  </w:num>
  <w:num w:numId="6">
    <w:abstractNumId w:val="7"/>
  </w:num>
  <w:num w:numId="7">
    <w:abstractNumId w:val="2"/>
  </w:num>
  <w:num w:numId="8">
    <w:abstractNumId w:val="14"/>
  </w:num>
  <w:num w:numId="9">
    <w:abstractNumId w:val="10"/>
  </w:num>
  <w:num w:numId="10">
    <w:abstractNumId w:val="13"/>
  </w:num>
  <w:num w:numId="11">
    <w:abstractNumId w:val="6"/>
  </w:num>
  <w:num w:numId="12">
    <w:abstractNumId w:val="9"/>
  </w:num>
  <w:num w:numId="13">
    <w:abstractNumId w:val="11"/>
  </w:num>
  <w:num w:numId="14">
    <w:abstractNumId w:val="15"/>
  </w:num>
  <w:num w:numId="15">
    <w:abstractNumId w:val="0"/>
  </w:num>
  <w:num w:numId="16">
    <w:abstractNumId w:val="12"/>
  </w:num>
  <w:num w:numId="17">
    <w:abstractNumId w:val="17"/>
  </w:num>
  <w:num w:numId="1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190F62"/>
    <w:rsid w:val="000005CB"/>
    <w:rsid w:val="00001581"/>
    <w:rsid w:val="00001900"/>
    <w:rsid w:val="00006DE4"/>
    <w:rsid w:val="00007658"/>
    <w:rsid w:val="000107BF"/>
    <w:rsid w:val="000133A4"/>
    <w:rsid w:val="00013A69"/>
    <w:rsid w:val="00013B35"/>
    <w:rsid w:val="000169F3"/>
    <w:rsid w:val="0001745D"/>
    <w:rsid w:val="000267C3"/>
    <w:rsid w:val="0003194C"/>
    <w:rsid w:val="00032304"/>
    <w:rsid w:val="0003286F"/>
    <w:rsid w:val="00032F19"/>
    <w:rsid w:val="00033B7A"/>
    <w:rsid w:val="000370E3"/>
    <w:rsid w:val="000403BD"/>
    <w:rsid w:val="0004049A"/>
    <w:rsid w:val="000415F0"/>
    <w:rsid w:val="00041CE0"/>
    <w:rsid w:val="00044A29"/>
    <w:rsid w:val="00044E36"/>
    <w:rsid w:val="000501D0"/>
    <w:rsid w:val="000514C9"/>
    <w:rsid w:val="0005170D"/>
    <w:rsid w:val="000523B6"/>
    <w:rsid w:val="00053D75"/>
    <w:rsid w:val="00055E45"/>
    <w:rsid w:val="00061BF1"/>
    <w:rsid w:val="00063930"/>
    <w:rsid w:val="00063AA5"/>
    <w:rsid w:val="00064E8B"/>
    <w:rsid w:val="00070E15"/>
    <w:rsid w:val="000712FF"/>
    <w:rsid w:val="00073A2E"/>
    <w:rsid w:val="0007711C"/>
    <w:rsid w:val="00082FA1"/>
    <w:rsid w:val="000850CC"/>
    <w:rsid w:val="00092706"/>
    <w:rsid w:val="00092835"/>
    <w:rsid w:val="0009291A"/>
    <w:rsid w:val="00094F51"/>
    <w:rsid w:val="0009508A"/>
    <w:rsid w:val="00095788"/>
    <w:rsid w:val="000A0441"/>
    <w:rsid w:val="000A0538"/>
    <w:rsid w:val="000A1EDD"/>
    <w:rsid w:val="000A2504"/>
    <w:rsid w:val="000A364A"/>
    <w:rsid w:val="000A36A5"/>
    <w:rsid w:val="000A430D"/>
    <w:rsid w:val="000A5356"/>
    <w:rsid w:val="000A661D"/>
    <w:rsid w:val="000A6793"/>
    <w:rsid w:val="000A7838"/>
    <w:rsid w:val="000B0F42"/>
    <w:rsid w:val="000B10E3"/>
    <w:rsid w:val="000B15DB"/>
    <w:rsid w:val="000B272B"/>
    <w:rsid w:val="000B2DEE"/>
    <w:rsid w:val="000B38E6"/>
    <w:rsid w:val="000B47C5"/>
    <w:rsid w:val="000B67B8"/>
    <w:rsid w:val="000B6918"/>
    <w:rsid w:val="000C3EA9"/>
    <w:rsid w:val="000C5926"/>
    <w:rsid w:val="000C6940"/>
    <w:rsid w:val="000D337A"/>
    <w:rsid w:val="000D3EEB"/>
    <w:rsid w:val="000E1DCE"/>
    <w:rsid w:val="000E478C"/>
    <w:rsid w:val="000E5540"/>
    <w:rsid w:val="000F5BEA"/>
    <w:rsid w:val="000F6337"/>
    <w:rsid w:val="00100A86"/>
    <w:rsid w:val="00105579"/>
    <w:rsid w:val="0010729F"/>
    <w:rsid w:val="00107F79"/>
    <w:rsid w:val="00110FE0"/>
    <w:rsid w:val="0011179B"/>
    <w:rsid w:val="001126F9"/>
    <w:rsid w:val="001149A8"/>
    <w:rsid w:val="00115045"/>
    <w:rsid w:val="001154E2"/>
    <w:rsid w:val="001200FD"/>
    <w:rsid w:val="00120C15"/>
    <w:rsid w:val="001238A4"/>
    <w:rsid w:val="0012409D"/>
    <w:rsid w:val="0013267F"/>
    <w:rsid w:val="001338F6"/>
    <w:rsid w:val="00137E85"/>
    <w:rsid w:val="00141CEB"/>
    <w:rsid w:val="00143604"/>
    <w:rsid w:val="001453A6"/>
    <w:rsid w:val="001507AA"/>
    <w:rsid w:val="00151A6A"/>
    <w:rsid w:val="00155BDD"/>
    <w:rsid w:val="0015647E"/>
    <w:rsid w:val="00156C23"/>
    <w:rsid w:val="00157584"/>
    <w:rsid w:val="00157A81"/>
    <w:rsid w:val="001602C5"/>
    <w:rsid w:val="0016209C"/>
    <w:rsid w:val="001637F0"/>
    <w:rsid w:val="00171F91"/>
    <w:rsid w:val="00171FE3"/>
    <w:rsid w:val="00174C21"/>
    <w:rsid w:val="00177065"/>
    <w:rsid w:val="00177831"/>
    <w:rsid w:val="00180800"/>
    <w:rsid w:val="00180DD8"/>
    <w:rsid w:val="00182062"/>
    <w:rsid w:val="0019007A"/>
    <w:rsid w:val="001909DB"/>
    <w:rsid w:val="00190F62"/>
    <w:rsid w:val="00192673"/>
    <w:rsid w:val="00192B82"/>
    <w:rsid w:val="00194F2F"/>
    <w:rsid w:val="00196122"/>
    <w:rsid w:val="001970A9"/>
    <w:rsid w:val="001A0B72"/>
    <w:rsid w:val="001A3791"/>
    <w:rsid w:val="001B0493"/>
    <w:rsid w:val="001B2FB3"/>
    <w:rsid w:val="001B30E6"/>
    <w:rsid w:val="001B33FF"/>
    <w:rsid w:val="001B5B9D"/>
    <w:rsid w:val="001B6DE9"/>
    <w:rsid w:val="001B78D8"/>
    <w:rsid w:val="001C1ACF"/>
    <w:rsid w:val="001C1BDB"/>
    <w:rsid w:val="001C2A24"/>
    <w:rsid w:val="001C2D83"/>
    <w:rsid w:val="001D0E22"/>
    <w:rsid w:val="001D43C5"/>
    <w:rsid w:val="001D6483"/>
    <w:rsid w:val="001E2074"/>
    <w:rsid w:val="001E6CEB"/>
    <w:rsid w:val="001E7A22"/>
    <w:rsid w:val="001E7A2E"/>
    <w:rsid w:val="001E7EE2"/>
    <w:rsid w:val="001F10C3"/>
    <w:rsid w:val="001F2835"/>
    <w:rsid w:val="001F2EBE"/>
    <w:rsid w:val="001F55A8"/>
    <w:rsid w:val="001F71A7"/>
    <w:rsid w:val="001F7B59"/>
    <w:rsid w:val="002001CD"/>
    <w:rsid w:val="00202476"/>
    <w:rsid w:val="00202697"/>
    <w:rsid w:val="00202D5A"/>
    <w:rsid w:val="00204172"/>
    <w:rsid w:val="00204CAB"/>
    <w:rsid w:val="00211F0E"/>
    <w:rsid w:val="00212C3A"/>
    <w:rsid w:val="002130FC"/>
    <w:rsid w:val="002146FB"/>
    <w:rsid w:val="00217652"/>
    <w:rsid w:val="00221895"/>
    <w:rsid w:val="00221CE1"/>
    <w:rsid w:val="00222440"/>
    <w:rsid w:val="00222E71"/>
    <w:rsid w:val="00232121"/>
    <w:rsid w:val="00236591"/>
    <w:rsid w:val="0024232A"/>
    <w:rsid w:val="002453F1"/>
    <w:rsid w:val="00250557"/>
    <w:rsid w:val="002514E2"/>
    <w:rsid w:val="002521A6"/>
    <w:rsid w:val="00253DF4"/>
    <w:rsid w:val="00254B8E"/>
    <w:rsid w:val="00255053"/>
    <w:rsid w:val="0026095F"/>
    <w:rsid w:val="002614DA"/>
    <w:rsid w:val="0026184C"/>
    <w:rsid w:val="002630E4"/>
    <w:rsid w:val="00263992"/>
    <w:rsid w:val="00266E7D"/>
    <w:rsid w:val="00267540"/>
    <w:rsid w:val="0027008C"/>
    <w:rsid w:val="00270309"/>
    <w:rsid w:val="00271897"/>
    <w:rsid w:val="00273E0D"/>
    <w:rsid w:val="00277FEB"/>
    <w:rsid w:val="00280B39"/>
    <w:rsid w:val="00281F84"/>
    <w:rsid w:val="00282801"/>
    <w:rsid w:val="00283B59"/>
    <w:rsid w:val="002848C2"/>
    <w:rsid w:val="00284E45"/>
    <w:rsid w:val="0029119B"/>
    <w:rsid w:val="00291B84"/>
    <w:rsid w:val="00293025"/>
    <w:rsid w:val="00295600"/>
    <w:rsid w:val="00295C6B"/>
    <w:rsid w:val="002A2DF6"/>
    <w:rsid w:val="002A3A7C"/>
    <w:rsid w:val="002A6226"/>
    <w:rsid w:val="002B6EEA"/>
    <w:rsid w:val="002C353F"/>
    <w:rsid w:val="002C5C8A"/>
    <w:rsid w:val="002C62BA"/>
    <w:rsid w:val="002D3DCF"/>
    <w:rsid w:val="002D77AA"/>
    <w:rsid w:val="002D793F"/>
    <w:rsid w:val="002E07B1"/>
    <w:rsid w:val="002E0B5C"/>
    <w:rsid w:val="002E2774"/>
    <w:rsid w:val="002E5513"/>
    <w:rsid w:val="002E66C2"/>
    <w:rsid w:val="002E7846"/>
    <w:rsid w:val="002E7C4E"/>
    <w:rsid w:val="002F2111"/>
    <w:rsid w:val="002F3301"/>
    <w:rsid w:val="002F42E2"/>
    <w:rsid w:val="002F49BE"/>
    <w:rsid w:val="002F65AE"/>
    <w:rsid w:val="002F6AC7"/>
    <w:rsid w:val="002F77D1"/>
    <w:rsid w:val="002F7B9A"/>
    <w:rsid w:val="00300EF1"/>
    <w:rsid w:val="003023F8"/>
    <w:rsid w:val="0030567A"/>
    <w:rsid w:val="00310431"/>
    <w:rsid w:val="0031393E"/>
    <w:rsid w:val="00315110"/>
    <w:rsid w:val="0031542A"/>
    <w:rsid w:val="00321666"/>
    <w:rsid w:val="003224D9"/>
    <w:rsid w:val="00323B4D"/>
    <w:rsid w:val="003245D3"/>
    <w:rsid w:val="00326FDD"/>
    <w:rsid w:val="00331210"/>
    <w:rsid w:val="00332D08"/>
    <w:rsid w:val="00334787"/>
    <w:rsid w:val="00334B0A"/>
    <w:rsid w:val="003360ED"/>
    <w:rsid w:val="00336D78"/>
    <w:rsid w:val="003375FF"/>
    <w:rsid w:val="00337C46"/>
    <w:rsid w:val="00342AE8"/>
    <w:rsid w:val="003434CD"/>
    <w:rsid w:val="00343722"/>
    <w:rsid w:val="00347EE2"/>
    <w:rsid w:val="00351551"/>
    <w:rsid w:val="00352727"/>
    <w:rsid w:val="00353D23"/>
    <w:rsid w:val="003545A1"/>
    <w:rsid w:val="00357A42"/>
    <w:rsid w:val="00360909"/>
    <w:rsid w:val="003633B4"/>
    <w:rsid w:val="003648D4"/>
    <w:rsid w:val="0036557E"/>
    <w:rsid w:val="003657FD"/>
    <w:rsid w:val="003662CF"/>
    <w:rsid w:val="0036658D"/>
    <w:rsid w:val="00373C49"/>
    <w:rsid w:val="0038006A"/>
    <w:rsid w:val="00382775"/>
    <w:rsid w:val="003910CC"/>
    <w:rsid w:val="00391964"/>
    <w:rsid w:val="00391995"/>
    <w:rsid w:val="003926FB"/>
    <w:rsid w:val="00393A9A"/>
    <w:rsid w:val="00394077"/>
    <w:rsid w:val="00394AEB"/>
    <w:rsid w:val="003A0332"/>
    <w:rsid w:val="003A0FB0"/>
    <w:rsid w:val="003A14B8"/>
    <w:rsid w:val="003A2172"/>
    <w:rsid w:val="003A51A7"/>
    <w:rsid w:val="003A58AE"/>
    <w:rsid w:val="003A6A80"/>
    <w:rsid w:val="003B0B2B"/>
    <w:rsid w:val="003B17CC"/>
    <w:rsid w:val="003B345F"/>
    <w:rsid w:val="003B5B6C"/>
    <w:rsid w:val="003C0DAA"/>
    <w:rsid w:val="003C10E5"/>
    <w:rsid w:val="003C3DFB"/>
    <w:rsid w:val="003C5BB3"/>
    <w:rsid w:val="003C7BA3"/>
    <w:rsid w:val="003D007C"/>
    <w:rsid w:val="003D2E03"/>
    <w:rsid w:val="003D3C88"/>
    <w:rsid w:val="003D4470"/>
    <w:rsid w:val="003D47B8"/>
    <w:rsid w:val="003D4C96"/>
    <w:rsid w:val="003D50E1"/>
    <w:rsid w:val="003D68A8"/>
    <w:rsid w:val="003D6BCC"/>
    <w:rsid w:val="003D7DF8"/>
    <w:rsid w:val="003E2F4D"/>
    <w:rsid w:val="003E58D1"/>
    <w:rsid w:val="003E7686"/>
    <w:rsid w:val="003F2207"/>
    <w:rsid w:val="003F6975"/>
    <w:rsid w:val="003F6D96"/>
    <w:rsid w:val="003F7647"/>
    <w:rsid w:val="003F77AA"/>
    <w:rsid w:val="00402273"/>
    <w:rsid w:val="00403138"/>
    <w:rsid w:val="00403448"/>
    <w:rsid w:val="00406B65"/>
    <w:rsid w:val="0040785D"/>
    <w:rsid w:val="0041028D"/>
    <w:rsid w:val="0041128C"/>
    <w:rsid w:val="00411A2D"/>
    <w:rsid w:val="00412439"/>
    <w:rsid w:val="00413E1D"/>
    <w:rsid w:val="004204F4"/>
    <w:rsid w:val="0042122F"/>
    <w:rsid w:val="00422053"/>
    <w:rsid w:val="00422881"/>
    <w:rsid w:val="004235A3"/>
    <w:rsid w:val="00430E2D"/>
    <w:rsid w:val="0043223D"/>
    <w:rsid w:val="004331A1"/>
    <w:rsid w:val="00437079"/>
    <w:rsid w:val="00442673"/>
    <w:rsid w:val="0044351E"/>
    <w:rsid w:val="00446683"/>
    <w:rsid w:val="00447A15"/>
    <w:rsid w:val="00447DBF"/>
    <w:rsid w:val="00452CF7"/>
    <w:rsid w:val="00453418"/>
    <w:rsid w:val="00453A2A"/>
    <w:rsid w:val="00453CAC"/>
    <w:rsid w:val="00455E4F"/>
    <w:rsid w:val="0046007A"/>
    <w:rsid w:val="00460DDF"/>
    <w:rsid w:val="004611D4"/>
    <w:rsid w:val="00462F7D"/>
    <w:rsid w:val="004705F8"/>
    <w:rsid w:val="00475CAD"/>
    <w:rsid w:val="00476704"/>
    <w:rsid w:val="00477923"/>
    <w:rsid w:val="00477B0A"/>
    <w:rsid w:val="00477D47"/>
    <w:rsid w:val="00480A65"/>
    <w:rsid w:val="00484521"/>
    <w:rsid w:val="00484DCD"/>
    <w:rsid w:val="00485255"/>
    <w:rsid w:val="004857A9"/>
    <w:rsid w:val="00492C53"/>
    <w:rsid w:val="00492DC8"/>
    <w:rsid w:val="00493FBC"/>
    <w:rsid w:val="00493FE6"/>
    <w:rsid w:val="004A5F11"/>
    <w:rsid w:val="004B0127"/>
    <w:rsid w:val="004B1647"/>
    <w:rsid w:val="004B2339"/>
    <w:rsid w:val="004B300E"/>
    <w:rsid w:val="004B3EBF"/>
    <w:rsid w:val="004B5531"/>
    <w:rsid w:val="004B60A6"/>
    <w:rsid w:val="004B73E9"/>
    <w:rsid w:val="004C11D4"/>
    <w:rsid w:val="004C18F1"/>
    <w:rsid w:val="004C3C96"/>
    <w:rsid w:val="004C57D6"/>
    <w:rsid w:val="004D1121"/>
    <w:rsid w:val="004D2FE8"/>
    <w:rsid w:val="004D35C5"/>
    <w:rsid w:val="004D4308"/>
    <w:rsid w:val="004D52DA"/>
    <w:rsid w:val="004D7781"/>
    <w:rsid w:val="004D7AF7"/>
    <w:rsid w:val="004E3BEF"/>
    <w:rsid w:val="004E5E30"/>
    <w:rsid w:val="004E6716"/>
    <w:rsid w:val="004E6E60"/>
    <w:rsid w:val="004E765C"/>
    <w:rsid w:val="004F0AEA"/>
    <w:rsid w:val="004F2BAE"/>
    <w:rsid w:val="004F3319"/>
    <w:rsid w:val="004F36A1"/>
    <w:rsid w:val="00500F73"/>
    <w:rsid w:val="0050359C"/>
    <w:rsid w:val="00503C9F"/>
    <w:rsid w:val="0050419F"/>
    <w:rsid w:val="00504E79"/>
    <w:rsid w:val="0050586C"/>
    <w:rsid w:val="00505E97"/>
    <w:rsid w:val="005060B9"/>
    <w:rsid w:val="005064DC"/>
    <w:rsid w:val="00507EE3"/>
    <w:rsid w:val="00512055"/>
    <w:rsid w:val="005127DB"/>
    <w:rsid w:val="005135E7"/>
    <w:rsid w:val="00515472"/>
    <w:rsid w:val="00516EA1"/>
    <w:rsid w:val="005173A5"/>
    <w:rsid w:val="00517547"/>
    <w:rsid w:val="00517EE4"/>
    <w:rsid w:val="005220FC"/>
    <w:rsid w:val="005225B7"/>
    <w:rsid w:val="00522E74"/>
    <w:rsid w:val="0052456F"/>
    <w:rsid w:val="0052484F"/>
    <w:rsid w:val="00526410"/>
    <w:rsid w:val="00530A05"/>
    <w:rsid w:val="00531C21"/>
    <w:rsid w:val="005418DE"/>
    <w:rsid w:val="0054215C"/>
    <w:rsid w:val="00542ECB"/>
    <w:rsid w:val="0054469A"/>
    <w:rsid w:val="005464B5"/>
    <w:rsid w:val="005467A8"/>
    <w:rsid w:val="00546B70"/>
    <w:rsid w:val="005507EA"/>
    <w:rsid w:val="00551DB7"/>
    <w:rsid w:val="00552196"/>
    <w:rsid w:val="00553088"/>
    <w:rsid w:val="005552D0"/>
    <w:rsid w:val="0056578C"/>
    <w:rsid w:val="00566E17"/>
    <w:rsid w:val="0057020E"/>
    <w:rsid w:val="005778B5"/>
    <w:rsid w:val="00580B8A"/>
    <w:rsid w:val="0058199A"/>
    <w:rsid w:val="00581FA1"/>
    <w:rsid w:val="0058227E"/>
    <w:rsid w:val="00583315"/>
    <w:rsid w:val="00584957"/>
    <w:rsid w:val="00590A7B"/>
    <w:rsid w:val="00590EFB"/>
    <w:rsid w:val="005913BE"/>
    <w:rsid w:val="00592A7B"/>
    <w:rsid w:val="00595863"/>
    <w:rsid w:val="00595D40"/>
    <w:rsid w:val="00597338"/>
    <w:rsid w:val="005A0E40"/>
    <w:rsid w:val="005A2664"/>
    <w:rsid w:val="005A6CCF"/>
    <w:rsid w:val="005A7573"/>
    <w:rsid w:val="005B03BF"/>
    <w:rsid w:val="005B1332"/>
    <w:rsid w:val="005B3BBD"/>
    <w:rsid w:val="005B3DD8"/>
    <w:rsid w:val="005B5B20"/>
    <w:rsid w:val="005C0A84"/>
    <w:rsid w:val="005C1349"/>
    <w:rsid w:val="005C1444"/>
    <w:rsid w:val="005C2024"/>
    <w:rsid w:val="005C2155"/>
    <w:rsid w:val="005C285F"/>
    <w:rsid w:val="005C4017"/>
    <w:rsid w:val="005C5C81"/>
    <w:rsid w:val="005C7FBD"/>
    <w:rsid w:val="005D09BB"/>
    <w:rsid w:val="005D2723"/>
    <w:rsid w:val="005D37EE"/>
    <w:rsid w:val="005D7910"/>
    <w:rsid w:val="005E2FA8"/>
    <w:rsid w:val="005E37C9"/>
    <w:rsid w:val="005F2F83"/>
    <w:rsid w:val="005F3BDA"/>
    <w:rsid w:val="005F44F9"/>
    <w:rsid w:val="005F5205"/>
    <w:rsid w:val="005F6190"/>
    <w:rsid w:val="005F64FA"/>
    <w:rsid w:val="00603A6F"/>
    <w:rsid w:val="0060508A"/>
    <w:rsid w:val="00606501"/>
    <w:rsid w:val="006070E5"/>
    <w:rsid w:val="00613157"/>
    <w:rsid w:val="006132FE"/>
    <w:rsid w:val="0061360E"/>
    <w:rsid w:val="00623CB4"/>
    <w:rsid w:val="00626996"/>
    <w:rsid w:val="00627432"/>
    <w:rsid w:val="00631874"/>
    <w:rsid w:val="00631B78"/>
    <w:rsid w:val="006332D8"/>
    <w:rsid w:val="00633C00"/>
    <w:rsid w:val="006346B4"/>
    <w:rsid w:val="0064323D"/>
    <w:rsid w:val="00643A57"/>
    <w:rsid w:val="006466B9"/>
    <w:rsid w:val="00647FEA"/>
    <w:rsid w:val="00652B3C"/>
    <w:rsid w:val="00653233"/>
    <w:rsid w:val="0065331D"/>
    <w:rsid w:val="00654D6F"/>
    <w:rsid w:val="00655B4C"/>
    <w:rsid w:val="00656F3E"/>
    <w:rsid w:val="0065793B"/>
    <w:rsid w:val="00663891"/>
    <w:rsid w:val="006645A7"/>
    <w:rsid w:val="00665C28"/>
    <w:rsid w:val="00665EE0"/>
    <w:rsid w:val="006665C5"/>
    <w:rsid w:val="00666BE6"/>
    <w:rsid w:val="00667542"/>
    <w:rsid w:val="0066755B"/>
    <w:rsid w:val="00667C40"/>
    <w:rsid w:val="00670403"/>
    <w:rsid w:val="00671972"/>
    <w:rsid w:val="006728F3"/>
    <w:rsid w:val="00672D20"/>
    <w:rsid w:val="00676BAB"/>
    <w:rsid w:val="00676BC0"/>
    <w:rsid w:val="00681CC0"/>
    <w:rsid w:val="0068289A"/>
    <w:rsid w:val="0068374B"/>
    <w:rsid w:val="00684393"/>
    <w:rsid w:val="00686AF6"/>
    <w:rsid w:val="006947AF"/>
    <w:rsid w:val="00696DB1"/>
    <w:rsid w:val="006970D6"/>
    <w:rsid w:val="00697419"/>
    <w:rsid w:val="00697AE9"/>
    <w:rsid w:val="006A15AC"/>
    <w:rsid w:val="006A1C76"/>
    <w:rsid w:val="006A2200"/>
    <w:rsid w:val="006A5491"/>
    <w:rsid w:val="006A5759"/>
    <w:rsid w:val="006B1A5D"/>
    <w:rsid w:val="006B2E34"/>
    <w:rsid w:val="006B3F1C"/>
    <w:rsid w:val="006B7007"/>
    <w:rsid w:val="006B7D16"/>
    <w:rsid w:val="006C0229"/>
    <w:rsid w:val="006C0A5F"/>
    <w:rsid w:val="006C3E6F"/>
    <w:rsid w:val="006C4152"/>
    <w:rsid w:val="006C46B0"/>
    <w:rsid w:val="006C5BC3"/>
    <w:rsid w:val="006C6A62"/>
    <w:rsid w:val="006D1347"/>
    <w:rsid w:val="006D2304"/>
    <w:rsid w:val="006D3840"/>
    <w:rsid w:val="006D4416"/>
    <w:rsid w:val="006D6A4D"/>
    <w:rsid w:val="006E2066"/>
    <w:rsid w:val="006E2327"/>
    <w:rsid w:val="006E2F7F"/>
    <w:rsid w:val="006E6469"/>
    <w:rsid w:val="006E700A"/>
    <w:rsid w:val="006E719D"/>
    <w:rsid w:val="006F079D"/>
    <w:rsid w:val="006F0A9C"/>
    <w:rsid w:val="006F4049"/>
    <w:rsid w:val="006F4143"/>
    <w:rsid w:val="006F7A91"/>
    <w:rsid w:val="0070006E"/>
    <w:rsid w:val="00700716"/>
    <w:rsid w:val="00701D81"/>
    <w:rsid w:val="007035D8"/>
    <w:rsid w:val="0070414D"/>
    <w:rsid w:val="00704DE9"/>
    <w:rsid w:val="00705960"/>
    <w:rsid w:val="0070645F"/>
    <w:rsid w:val="007100C7"/>
    <w:rsid w:val="00711658"/>
    <w:rsid w:val="0071501F"/>
    <w:rsid w:val="0072178B"/>
    <w:rsid w:val="00723C17"/>
    <w:rsid w:val="00723C83"/>
    <w:rsid w:val="00727F57"/>
    <w:rsid w:val="00730D0F"/>
    <w:rsid w:val="007350B5"/>
    <w:rsid w:val="00735649"/>
    <w:rsid w:val="007359A3"/>
    <w:rsid w:val="007367A0"/>
    <w:rsid w:val="0073774E"/>
    <w:rsid w:val="0074537A"/>
    <w:rsid w:val="00750E3A"/>
    <w:rsid w:val="0075149C"/>
    <w:rsid w:val="007527A7"/>
    <w:rsid w:val="007534DC"/>
    <w:rsid w:val="0075764D"/>
    <w:rsid w:val="00760B01"/>
    <w:rsid w:val="00765799"/>
    <w:rsid w:val="007711A4"/>
    <w:rsid w:val="00772FB8"/>
    <w:rsid w:val="0077589E"/>
    <w:rsid w:val="00775B93"/>
    <w:rsid w:val="00776EF8"/>
    <w:rsid w:val="00777AC0"/>
    <w:rsid w:val="00780AC5"/>
    <w:rsid w:val="007815FC"/>
    <w:rsid w:val="00782F97"/>
    <w:rsid w:val="0078307D"/>
    <w:rsid w:val="007866E9"/>
    <w:rsid w:val="00787AD6"/>
    <w:rsid w:val="00787F6B"/>
    <w:rsid w:val="00792391"/>
    <w:rsid w:val="007932C6"/>
    <w:rsid w:val="00795224"/>
    <w:rsid w:val="00795A94"/>
    <w:rsid w:val="007A059F"/>
    <w:rsid w:val="007A3640"/>
    <w:rsid w:val="007A7536"/>
    <w:rsid w:val="007B0C41"/>
    <w:rsid w:val="007B1A07"/>
    <w:rsid w:val="007B2A79"/>
    <w:rsid w:val="007B328B"/>
    <w:rsid w:val="007B435B"/>
    <w:rsid w:val="007B4ECA"/>
    <w:rsid w:val="007B6B6D"/>
    <w:rsid w:val="007B6E58"/>
    <w:rsid w:val="007C216A"/>
    <w:rsid w:val="007C2479"/>
    <w:rsid w:val="007C29E5"/>
    <w:rsid w:val="007C709A"/>
    <w:rsid w:val="007C7CA0"/>
    <w:rsid w:val="007D1F36"/>
    <w:rsid w:val="007D6600"/>
    <w:rsid w:val="007D6618"/>
    <w:rsid w:val="007E243E"/>
    <w:rsid w:val="007E3A92"/>
    <w:rsid w:val="007E4138"/>
    <w:rsid w:val="007E4D18"/>
    <w:rsid w:val="007F120D"/>
    <w:rsid w:val="007F3CAF"/>
    <w:rsid w:val="007F5685"/>
    <w:rsid w:val="007F7269"/>
    <w:rsid w:val="008020CD"/>
    <w:rsid w:val="0080317D"/>
    <w:rsid w:val="00803B43"/>
    <w:rsid w:val="00805CE9"/>
    <w:rsid w:val="00810C96"/>
    <w:rsid w:val="00812535"/>
    <w:rsid w:val="00813922"/>
    <w:rsid w:val="00816100"/>
    <w:rsid w:val="00817457"/>
    <w:rsid w:val="00824A62"/>
    <w:rsid w:val="00824E81"/>
    <w:rsid w:val="0083315A"/>
    <w:rsid w:val="0083606F"/>
    <w:rsid w:val="008477D0"/>
    <w:rsid w:val="00852AF5"/>
    <w:rsid w:val="00853ABE"/>
    <w:rsid w:val="008550E3"/>
    <w:rsid w:val="00855E9F"/>
    <w:rsid w:val="008561AA"/>
    <w:rsid w:val="008636F3"/>
    <w:rsid w:val="008641BB"/>
    <w:rsid w:val="00865EC4"/>
    <w:rsid w:val="008679E4"/>
    <w:rsid w:val="008839F5"/>
    <w:rsid w:val="00884A14"/>
    <w:rsid w:val="00891ED5"/>
    <w:rsid w:val="00892D00"/>
    <w:rsid w:val="0089431A"/>
    <w:rsid w:val="008945B7"/>
    <w:rsid w:val="008A2529"/>
    <w:rsid w:val="008A3CF0"/>
    <w:rsid w:val="008A4EBE"/>
    <w:rsid w:val="008A4EF8"/>
    <w:rsid w:val="008B138A"/>
    <w:rsid w:val="008B34A3"/>
    <w:rsid w:val="008B493E"/>
    <w:rsid w:val="008B4FFD"/>
    <w:rsid w:val="008B63BC"/>
    <w:rsid w:val="008B6806"/>
    <w:rsid w:val="008B6EA4"/>
    <w:rsid w:val="008C12AD"/>
    <w:rsid w:val="008C20CC"/>
    <w:rsid w:val="008C2435"/>
    <w:rsid w:val="008C4885"/>
    <w:rsid w:val="008C49AA"/>
    <w:rsid w:val="008C66C0"/>
    <w:rsid w:val="008C6B82"/>
    <w:rsid w:val="008C79DE"/>
    <w:rsid w:val="008D0747"/>
    <w:rsid w:val="008D1699"/>
    <w:rsid w:val="008D30DF"/>
    <w:rsid w:val="008D404F"/>
    <w:rsid w:val="008D745F"/>
    <w:rsid w:val="008E423E"/>
    <w:rsid w:val="008E669A"/>
    <w:rsid w:val="008E6D98"/>
    <w:rsid w:val="008F0566"/>
    <w:rsid w:val="008F117B"/>
    <w:rsid w:val="008F12A4"/>
    <w:rsid w:val="008F3894"/>
    <w:rsid w:val="008F3EFA"/>
    <w:rsid w:val="008F605F"/>
    <w:rsid w:val="00900318"/>
    <w:rsid w:val="009028B3"/>
    <w:rsid w:val="0090392B"/>
    <w:rsid w:val="009047EA"/>
    <w:rsid w:val="00904E05"/>
    <w:rsid w:val="0090506D"/>
    <w:rsid w:val="009057F2"/>
    <w:rsid w:val="0091263C"/>
    <w:rsid w:val="00913D93"/>
    <w:rsid w:val="00914157"/>
    <w:rsid w:val="00914F6C"/>
    <w:rsid w:val="0091671B"/>
    <w:rsid w:val="009176ED"/>
    <w:rsid w:val="00920236"/>
    <w:rsid w:val="009202A4"/>
    <w:rsid w:val="00926A75"/>
    <w:rsid w:val="00927570"/>
    <w:rsid w:val="009310EE"/>
    <w:rsid w:val="009317A4"/>
    <w:rsid w:val="00932A1C"/>
    <w:rsid w:val="00934E83"/>
    <w:rsid w:val="00937520"/>
    <w:rsid w:val="00937DD3"/>
    <w:rsid w:val="0094260C"/>
    <w:rsid w:val="009429EE"/>
    <w:rsid w:val="009460F0"/>
    <w:rsid w:val="0095220D"/>
    <w:rsid w:val="00952503"/>
    <w:rsid w:val="00954C3B"/>
    <w:rsid w:val="009566E3"/>
    <w:rsid w:val="009569E7"/>
    <w:rsid w:val="00957652"/>
    <w:rsid w:val="00960210"/>
    <w:rsid w:val="009606D9"/>
    <w:rsid w:val="009617C1"/>
    <w:rsid w:val="00962517"/>
    <w:rsid w:val="00963116"/>
    <w:rsid w:val="0096489E"/>
    <w:rsid w:val="0096539B"/>
    <w:rsid w:val="00967CE6"/>
    <w:rsid w:val="00967F59"/>
    <w:rsid w:val="00971169"/>
    <w:rsid w:val="0097164E"/>
    <w:rsid w:val="00972C80"/>
    <w:rsid w:val="00976970"/>
    <w:rsid w:val="00985912"/>
    <w:rsid w:val="009867DF"/>
    <w:rsid w:val="0099006E"/>
    <w:rsid w:val="009900B1"/>
    <w:rsid w:val="009936A4"/>
    <w:rsid w:val="00993E3E"/>
    <w:rsid w:val="009A2390"/>
    <w:rsid w:val="009A406D"/>
    <w:rsid w:val="009A7524"/>
    <w:rsid w:val="009B215E"/>
    <w:rsid w:val="009B26E6"/>
    <w:rsid w:val="009B62E8"/>
    <w:rsid w:val="009B658F"/>
    <w:rsid w:val="009B69DC"/>
    <w:rsid w:val="009C1D54"/>
    <w:rsid w:val="009C3DA0"/>
    <w:rsid w:val="009C721B"/>
    <w:rsid w:val="009C72C0"/>
    <w:rsid w:val="009D4614"/>
    <w:rsid w:val="009D4C52"/>
    <w:rsid w:val="009D5417"/>
    <w:rsid w:val="009D621B"/>
    <w:rsid w:val="009E0174"/>
    <w:rsid w:val="009E3434"/>
    <w:rsid w:val="009E40C2"/>
    <w:rsid w:val="009E4EE5"/>
    <w:rsid w:val="009E63FD"/>
    <w:rsid w:val="009F2832"/>
    <w:rsid w:val="009F740F"/>
    <w:rsid w:val="009F7BCB"/>
    <w:rsid w:val="00A01721"/>
    <w:rsid w:val="00A04FF8"/>
    <w:rsid w:val="00A078C0"/>
    <w:rsid w:val="00A13175"/>
    <w:rsid w:val="00A1368B"/>
    <w:rsid w:val="00A16F37"/>
    <w:rsid w:val="00A2043C"/>
    <w:rsid w:val="00A2280A"/>
    <w:rsid w:val="00A24EBF"/>
    <w:rsid w:val="00A2625D"/>
    <w:rsid w:val="00A31EA6"/>
    <w:rsid w:val="00A35E39"/>
    <w:rsid w:val="00A419F3"/>
    <w:rsid w:val="00A5170B"/>
    <w:rsid w:val="00A53F03"/>
    <w:rsid w:val="00A5450E"/>
    <w:rsid w:val="00A54EC0"/>
    <w:rsid w:val="00A551FD"/>
    <w:rsid w:val="00A572ED"/>
    <w:rsid w:val="00A57BD9"/>
    <w:rsid w:val="00A60E8B"/>
    <w:rsid w:val="00A61AFE"/>
    <w:rsid w:val="00A63218"/>
    <w:rsid w:val="00A6416A"/>
    <w:rsid w:val="00A65E5B"/>
    <w:rsid w:val="00A66B1F"/>
    <w:rsid w:val="00A66EA9"/>
    <w:rsid w:val="00A676B3"/>
    <w:rsid w:val="00A705CB"/>
    <w:rsid w:val="00A724FC"/>
    <w:rsid w:val="00A72780"/>
    <w:rsid w:val="00A737B2"/>
    <w:rsid w:val="00A75829"/>
    <w:rsid w:val="00A76067"/>
    <w:rsid w:val="00A80556"/>
    <w:rsid w:val="00A8117F"/>
    <w:rsid w:val="00A823B3"/>
    <w:rsid w:val="00A82658"/>
    <w:rsid w:val="00A8387B"/>
    <w:rsid w:val="00A868C7"/>
    <w:rsid w:val="00A9033E"/>
    <w:rsid w:val="00A9164B"/>
    <w:rsid w:val="00A92CD7"/>
    <w:rsid w:val="00AA0695"/>
    <w:rsid w:val="00AA16C3"/>
    <w:rsid w:val="00AA19D0"/>
    <w:rsid w:val="00AA4B9B"/>
    <w:rsid w:val="00AB072C"/>
    <w:rsid w:val="00AB17C7"/>
    <w:rsid w:val="00AB1D5B"/>
    <w:rsid w:val="00AB205E"/>
    <w:rsid w:val="00AB64D0"/>
    <w:rsid w:val="00AB6F47"/>
    <w:rsid w:val="00AC0584"/>
    <w:rsid w:val="00AC0AAC"/>
    <w:rsid w:val="00AC15B9"/>
    <w:rsid w:val="00AC654F"/>
    <w:rsid w:val="00AC6E08"/>
    <w:rsid w:val="00AD1FC7"/>
    <w:rsid w:val="00AE28C2"/>
    <w:rsid w:val="00AE4D8C"/>
    <w:rsid w:val="00AE6808"/>
    <w:rsid w:val="00AE782D"/>
    <w:rsid w:val="00AF0848"/>
    <w:rsid w:val="00AF130B"/>
    <w:rsid w:val="00AF16AF"/>
    <w:rsid w:val="00AF1ACA"/>
    <w:rsid w:val="00AF34E5"/>
    <w:rsid w:val="00AF3547"/>
    <w:rsid w:val="00AF42B7"/>
    <w:rsid w:val="00AF6AE0"/>
    <w:rsid w:val="00B00A17"/>
    <w:rsid w:val="00B01C75"/>
    <w:rsid w:val="00B13231"/>
    <w:rsid w:val="00B13A96"/>
    <w:rsid w:val="00B1528D"/>
    <w:rsid w:val="00B16C9A"/>
    <w:rsid w:val="00B2164F"/>
    <w:rsid w:val="00B248B5"/>
    <w:rsid w:val="00B258F0"/>
    <w:rsid w:val="00B26D41"/>
    <w:rsid w:val="00B2710E"/>
    <w:rsid w:val="00B27C05"/>
    <w:rsid w:val="00B31A81"/>
    <w:rsid w:val="00B3621C"/>
    <w:rsid w:val="00B3791B"/>
    <w:rsid w:val="00B43667"/>
    <w:rsid w:val="00B46118"/>
    <w:rsid w:val="00B47683"/>
    <w:rsid w:val="00B50484"/>
    <w:rsid w:val="00B51C8A"/>
    <w:rsid w:val="00B56591"/>
    <w:rsid w:val="00B57254"/>
    <w:rsid w:val="00B57C87"/>
    <w:rsid w:val="00B61D7F"/>
    <w:rsid w:val="00B62E96"/>
    <w:rsid w:val="00B6400A"/>
    <w:rsid w:val="00B6740A"/>
    <w:rsid w:val="00B67C2A"/>
    <w:rsid w:val="00B72766"/>
    <w:rsid w:val="00B746E3"/>
    <w:rsid w:val="00B75B65"/>
    <w:rsid w:val="00B816F3"/>
    <w:rsid w:val="00B818AA"/>
    <w:rsid w:val="00B83D19"/>
    <w:rsid w:val="00B83DA8"/>
    <w:rsid w:val="00B83F33"/>
    <w:rsid w:val="00B84550"/>
    <w:rsid w:val="00B85F34"/>
    <w:rsid w:val="00B87468"/>
    <w:rsid w:val="00B92ECF"/>
    <w:rsid w:val="00B93C0B"/>
    <w:rsid w:val="00B95690"/>
    <w:rsid w:val="00B95D3A"/>
    <w:rsid w:val="00B9609B"/>
    <w:rsid w:val="00BA55F9"/>
    <w:rsid w:val="00BA6C55"/>
    <w:rsid w:val="00BA736D"/>
    <w:rsid w:val="00BB3966"/>
    <w:rsid w:val="00BC01D2"/>
    <w:rsid w:val="00BC4F5B"/>
    <w:rsid w:val="00BC5BDB"/>
    <w:rsid w:val="00BC65B0"/>
    <w:rsid w:val="00BC6D0E"/>
    <w:rsid w:val="00BD0BF4"/>
    <w:rsid w:val="00BD0C34"/>
    <w:rsid w:val="00BD3588"/>
    <w:rsid w:val="00BD3E8D"/>
    <w:rsid w:val="00BD4F33"/>
    <w:rsid w:val="00BD6C14"/>
    <w:rsid w:val="00BD7663"/>
    <w:rsid w:val="00BE21FB"/>
    <w:rsid w:val="00BE4175"/>
    <w:rsid w:val="00BE4F2E"/>
    <w:rsid w:val="00BF457B"/>
    <w:rsid w:val="00BF5049"/>
    <w:rsid w:val="00BF6752"/>
    <w:rsid w:val="00C01D00"/>
    <w:rsid w:val="00C03513"/>
    <w:rsid w:val="00C0438A"/>
    <w:rsid w:val="00C04FBE"/>
    <w:rsid w:val="00C11DB6"/>
    <w:rsid w:val="00C13690"/>
    <w:rsid w:val="00C16626"/>
    <w:rsid w:val="00C1756D"/>
    <w:rsid w:val="00C21347"/>
    <w:rsid w:val="00C218AA"/>
    <w:rsid w:val="00C225DB"/>
    <w:rsid w:val="00C24A4D"/>
    <w:rsid w:val="00C26FB3"/>
    <w:rsid w:val="00C314E6"/>
    <w:rsid w:val="00C32D27"/>
    <w:rsid w:val="00C35298"/>
    <w:rsid w:val="00C406DE"/>
    <w:rsid w:val="00C449CD"/>
    <w:rsid w:val="00C51760"/>
    <w:rsid w:val="00C52B58"/>
    <w:rsid w:val="00C52D08"/>
    <w:rsid w:val="00C52E40"/>
    <w:rsid w:val="00C53671"/>
    <w:rsid w:val="00C53D12"/>
    <w:rsid w:val="00C54798"/>
    <w:rsid w:val="00C54CE2"/>
    <w:rsid w:val="00C56315"/>
    <w:rsid w:val="00C563D6"/>
    <w:rsid w:val="00C60373"/>
    <w:rsid w:val="00C626C1"/>
    <w:rsid w:val="00C633DD"/>
    <w:rsid w:val="00C63B7C"/>
    <w:rsid w:val="00C63F90"/>
    <w:rsid w:val="00C73E41"/>
    <w:rsid w:val="00C81B99"/>
    <w:rsid w:val="00C824E1"/>
    <w:rsid w:val="00C82514"/>
    <w:rsid w:val="00C829D2"/>
    <w:rsid w:val="00C8312A"/>
    <w:rsid w:val="00C87A8C"/>
    <w:rsid w:val="00C90FCC"/>
    <w:rsid w:val="00C912E7"/>
    <w:rsid w:val="00C95892"/>
    <w:rsid w:val="00CA14DD"/>
    <w:rsid w:val="00CA3F21"/>
    <w:rsid w:val="00CA5C9D"/>
    <w:rsid w:val="00CA5CFD"/>
    <w:rsid w:val="00CA63E3"/>
    <w:rsid w:val="00CA75DF"/>
    <w:rsid w:val="00CB0329"/>
    <w:rsid w:val="00CB0AC8"/>
    <w:rsid w:val="00CB0B3B"/>
    <w:rsid w:val="00CB2BF5"/>
    <w:rsid w:val="00CB3FF0"/>
    <w:rsid w:val="00CB6ADA"/>
    <w:rsid w:val="00CB6B09"/>
    <w:rsid w:val="00CC0133"/>
    <w:rsid w:val="00CC0769"/>
    <w:rsid w:val="00CC1BBD"/>
    <w:rsid w:val="00CC302E"/>
    <w:rsid w:val="00CC6C95"/>
    <w:rsid w:val="00CD0B6A"/>
    <w:rsid w:val="00CD1C54"/>
    <w:rsid w:val="00CD4504"/>
    <w:rsid w:val="00CD577B"/>
    <w:rsid w:val="00CD7CE9"/>
    <w:rsid w:val="00CE03A2"/>
    <w:rsid w:val="00CE2835"/>
    <w:rsid w:val="00CE449C"/>
    <w:rsid w:val="00CF0B6D"/>
    <w:rsid w:val="00CF1AD4"/>
    <w:rsid w:val="00CF4CD5"/>
    <w:rsid w:val="00CF563D"/>
    <w:rsid w:val="00CF59DF"/>
    <w:rsid w:val="00CF7958"/>
    <w:rsid w:val="00D05692"/>
    <w:rsid w:val="00D11A47"/>
    <w:rsid w:val="00D12BCA"/>
    <w:rsid w:val="00D14772"/>
    <w:rsid w:val="00D14FCF"/>
    <w:rsid w:val="00D161C0"/>
    <w:rsid w:val="00D2136B"/>
    <w:rsid w:val="00D229FB"/>
    <w:rsid w:val="00D24993"/>
    <w:rsid w:val="00D254D6"/>
    <w:rsid w:val="00D4108C"/>
    <w:rsid w:val="00D420CA"/>
    <w:rsid w:val="00D42561"/>
    <w:rsid w:val="00D42C3C"/>
    <w:rsid w:val="00D439BC"/>
    <w:rsid w:val="00D50D0E"/>
    <w:rsid w:val="00D512AF"/>
    <w:rsid w:val="00D52698"/>
    <w:rsid w:val="00D540D3"/>
    <w:rsid w:val="00D5432E"/>
    <w:rsid w:val="00D56835"/>
    <w:rsid w:val="00D624AD"/>
    <w:rsid w:val="00D63AE8"/>
    <w:rsid w:val="00D64660"/>
    <w:rsid w:val="00D65207"/>
    <w:rsid w:val="00D660A6"/>
    <w:rsid w:val="00D660D2"/>
    <w:rsid w:val="00D662C0"/>
    <w:rsid w:val="00D72561"/>
    <w:rsid w:val="00D72A25"/>
    <w:rsid w:val="00D72DE8"/>
    <w:rsid w:val="00D7616D"/>
    <w:rsid w:val="00D80311"/>
    <w:rsid w:val="00D82EED"/>
    <w:rsid w:val="00D844D2"/>
    <w:rsid w:val="00D9088A"/>
    <w:rsid w:val="00D916A1"/>
    <w:rsid w:val="00D93D59"/>
    <w:rsid w:val="00D93E8D"/>
    <w:rsid w:val="00D94218"/>
    <w:rsid w:val="00D955CE"/>
    <w:rsid w:val="00DA4ECE"/>
    <w:rsid w:val="00DA642A"/>
    <w:rsid w:val="00DA6482"/>
    <w:rsid w:val="00DB35E5"/>
    <w:rsid w:val="00DB3649"/>
    <w:rsid w:val="00DB63D3"/>
    <w:rsid w:val="00DB69B5"/>
    <w:rsid w:val="00DB70C9"/>
    <w:rsid w:val="00DC0377"/>
    <w:rsid w:val="00DC42FB"/>
    <w:rsid w:val="00DD0537"/>
    <w:rsid w:val="00DD181C"/>
    <w:rsid w:val="00DD36FA"/>
    <w:rsid w:val="00DD40D4"/>
    <w:rsid w:val="00DD42FD"/>
    <w:rsid w:val="00DD7109"/>
    <w:rsid w:val="00DE1089"/>
    <w:rsid w:val="00DE19B8"/>
    <w:rsid w:val="00DE6525"/>
    <w:rsid w:val="00DE74F2"/>
    <w:rsid w:val="00DE7731"/>
    <w:rsid w:val="00DF0617"/>
    <w:rsid w:val="00DF4063"/>
    <w:rsid w:val="00DF489B"/>
    <w:rsid w:val="00E03DBB"/>
    <w:rsid w:val="00E05C79"/>
    <w:rsid w:val="00E0609A"/>
    <w:rsid w:val="00E148B8"/>
    <w:rsid w:val="00E151B7"/>
    <w:rsid w:val="00E17C8F"/>
    <w:rsid w:val="00E21596"/>
    <w:rsid w:val="00E22D2A"/>
    <w:rsid w:val="00E271D3"/>
    <w:rsid w:val="00E27677"/>
    <w:rsid w:val="00E303A1"/>
    <w:rsid w:val="00E30DE5"/>
    <w:rsid w:val="00E331BF"/>
    <w:rsid w:val="00E33402"/>
    <w:rsid w:val="00E35E96"/>
    <w:rsid w:val="00E4170D"/>
    <w:rsid w:val="00E46184"/>
    <w:rsid w:val="00E52C50"/>
    <w:rsid w:val="00E53468"/>
    <w:rsid w:val="00E55858"/>
    <w:rsid w:val="00E5673C"/>
    <w:rsid w:val="00E573E3"/>
    <w:rsid w:val="00E573E5"/>
    <w:rsid w:val="00E610C3"/>
    <w:rsid w:val="00E615F8"/>
    <w:rsid w:val="00E625D5"/>
    <w:rsid w:val="00E65389"/>
    <w:rsid w:val="00E67A2A"/>
    <w:rsid w:val="00E703C4"/>
    <w:rsid w:val="00E7214C"/>
    <w:rsid w:val="00E7308A"/>
    <w:rsid w:val="00E74E8C"/>
    <w:rsid w:val="00E776E9"/>
    <w:rsid w:val="00E77DE6"/>
    <w:rsid w:val="00E81023"/>
    <w:rsid w:val="00E81860"/>
    <w:rsid w:val="00E83ECD"/>
    <w:rsid w:val="00E84663"/>
    <w:rsid w:val="00E8487B"/>
    <w:rsid w:val="00E86570"/>
    <w:rsid w:val="00E900B7"/>
    <w:rsid w:val="00E90359"/>
    <w:rsid w:val="00E90EC7"/>
    <w:rsid w:val="00E91A0B"/>
    <w:rsid w:val="00E93ECC"/>
    <w:rsid w:val="00E94760"/>
    <w:rsid w:val="00EA098E"/>
    <w:rsid w:val="00EA3DAA"/>
    <w:rsid w:val="00EA4C7C"/>
    <w:rsid w:val="00EA597D"/>
    <w:rsid w:val="00EA7103"/>
    <w:rsid w:val="00EB02E3"/>
    <w:rsid w:val="00EB1440"/>
    <w:rsid w:val="00EB1493"/>
    <w:rsid w:val="00EB216E"/>
    <w:rsid w:val="00EB35E9"/>
    <w:rsid w:val="00EB3EE9"/>
    <w:rsid w:val="00EB5AD4"/>
    <w:rsid w:val="00EC168A"/>
    <w:rsid w:val="00EC3619"/>
    <w:rsid w:val="00EC4779"/>
    <w:rsid w:val="00EC4A42"/>
    <w:rsid w:val="00EC5EEC"/>
    <w:rsid w:val="00EC6181"/>
    <w:rsid w:val="00ED0BD3"/>
    <w:rsid w:val="00ED12CD"/>
    <w:rsid w:val="00ED19D0"/>
    <w:rsid w:val="00ED1E1D"/>
    <w:rsid w:val="00ED432F"/>
    <w:rsid w:val="00ED50E6"/>
    <w:rsid w:val="00EE1C7B"/>
    <w:rsid w:val="00EE518E"/>
    <w:rsid w:val="00EE612A"/>
    <w:rsid w:val="00EE7191"/>
    <w:rsid w:val="00EE7D97"/>
    <w:rsid w:val="00EF1EB9"/>
    <w:rsid w:val="00EF5B49"/>
    <w:rsid w:val="00EF5ED3"/>
    <w:rsid w:val="00F00B6B"/>
    <w:rsid w:val="00F00DFC"/>
    <w:rsid w:val="00F02920"/>
    <w:rsid w:val="00F05263"/>
    <w:rsid w:val="00F06E2E"/>
    <w:rsid w:val="00F1052C"/>
    <w:rsid w:val="00F14D77"/>
    <w:rsid w:val="00F172D4"/>
    <w:rsid w:val="00F20533"/>
    <w:rsid w:val="00F21A8F"/>
    <w:rsid w:val="00F21E32"/>
    <w:rsid w:val="00F22C8F"/>
    <w:rsid w:val="00F24910"/>
    <w:rsid w:val="00F26B57"/>
    <w:rsid w:val="00F36E9B"/>
    <w:rsid w:val="00F3712E"/>
    <w:rsid w:val="00F37248"/>
    <w:rsid w:val="00F40FA3"/>
    <w:rsid w:val="00F4109E"/>
    <w:rsid w:val="00F43FB3"/>
    <w:rsid w:val="00F45277"/>
    <w:rsid w:val="00F46439"/>
    <w:rsid w:val="00F47130"/>
    <w:rsid w:val="00F50087"/>
    <w:rsid w:val="00F50AA3"/>
    <w:rsid w:val="00F52105"/>
    <w:rsid w:val="00F52540"/>
    <w:rsid w:val="00F57D41"/>
    <w:rsid w:val="00F623F5"/>
    <w:rsid w:val="00F6372C"/>
    <w:rsid w:val="00F752FA"/>
    <w:rsid w:val="00F764A8"/>
    <w:rsid w:val="00F8105F"/>
    <w:rsid w:val="00F81775"/>
    <w:rsid w:val="00F82625"/>
    <w:rsid w:val="00F96066"/>
    <w:rsid w:val="00F96276"/>
    <w:rsid w:val="00F9727B"/>
    <w:rsid w:val="00F97492"/>
    <w:rsid w:val="00FA09C8"/>
    <w:rsid w:val="00FA0BC6"/>
    <w:rsid w:val="00FA2E61"/>
    <w:rsid w:val="00FA314B"/>
    <w:rsid w:val="00FA385E"/>
    <w:rsid w:val="00FA3AD0"/>
    <w:rsid w:val="00FB35A1"/>
    <w:rsid w:val="00FB4340"/>
    <w:rsid w:val="00FB60F1"/>
    <w:rsid w:val="00FC2BF8"/>
    <w:rsid w:val="00FC3A59"/>
    <w:rsid w:val="00FC43C5"/>
    <w:rsid w:val="00FC4781"/>
    <w:rsid w:val="00FC4C44"/>
    <w:rsid w:val="00FC6780"/>
    <w:rsid w:val="00FC709A"/>
    <w:rsid w:val="00FC7252"/>
    <w:rsid w:val="00FD4BC8"/>
    <w:rsid w:val="00FD66CF"/>
    <w:rsid w:val="00FE3FD8"/>
    <w:rsid w:val="00FE4D54"/>
    <w:rsid w:val="00FE57E4"/>
    <w:rsid w:val="00FE7B5E"/>
    <w:rsid w:val="00FE7B8E"/>
    <w:rsid w:val="00FF26A4"/>
    <w:rsid w:val="00FF34D9"/>
    <w:rsid w:val="00FF37BF"/>
    <w:rsid w:val="00FF3C15"/>
    <w:rsid w:val="00FF71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66"/>
  </w:style>
  <w:style w:type="paragraph" w:styleId="Heading1">
    <w:name w:val="heading 1"/>
    <w:basedOn w:val="Normal"/>
    <w:next w:val="Normal"/>
    <w:link w:val="Heading1Char"/>
    <w:uiPriority w:val="9"/>
    <w:qFormat/>
    <w:rsid w:val="00AE782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782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E782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E782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E782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782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78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78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78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432F"/>
    <w:pPr>
      <w:ind w:left="720"/>
      <w:contextualSpacing/>
    </w:pPr>
  </w:style>
  <w:style w:type="table" w:styleId="TableGrid">
    <w:name w:val="Table Grid"/>
    <w:basedOn w:val="TableNormal"/>
    <w:uiPriority w:val="59"/>
    <w:rsid w:val="005035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127DB"/>
    <w:rPr>
      <w:color w:val="0000FF" w:themeColor="hyperlink"/>
      <w:u w:val="single"/>
    </w:rPr>
  </w:style>
  <w:style w:type="paragraph" w:styleId="Header">
    <w:name w:val="header"/>
    <w:basedOn w:val="Normal"/>
    <w:link w:val="HeaderChar"/>
    <w:uiPriority w:val="99"/>
    <w:unhideWhenUsed/>
    <w:rsid w:val="003B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45F"/>
    <w:rPr>
      <w:lang w:val="en-GB"/>
    </w:rPr>
  </w:style>
  <w:style w:type="paragraph" w:styleId="Footer">
    <w:name w:val="footer"/>
    <w:basedOn w:val="Normal"/>
    <w:link w:val="FooterChar"/>
    <w:uiPriority w:val="99"/>
    <w:unhideWhenUsed/>
    <w:rsid w:val="003B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45F"/>
    <w:rPr>
      <w:lang w:val="en-GB"/>
    </w:rPr>
  </w:style>
  <w:style w:type="character" w:customStyle="1" w:styleId="Heading2Char">
    <w:name w:val="Heading 2 Char"/>
    <w:basedOn w:val="DefaultParagraphFont"/>
    <w:link w:val="Heading2"/>
    <w:uiPriority w:val="9"/>
    <w:rsid w:val="00AE782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E782D"/>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E782D"/>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AE782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E782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E782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E78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E78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E78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E782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E782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E782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E782D"/>
    <w:rPr>
      <w:rFonts w:asciiTheme="majorHAnsi" w:eastAsiaTheme="majorEastAsia" w:hAnsiTheme="majorHAnsi" w:cstheme="majorBidi"/>
      <w:i/>
      <w:iCs/>
      <w:spacing w:val="13"/>
      <w:sz w:val="24"/>
      <w:szCs w:val="24"/>
    </w:rPr>
  </w:style>
  <w:style w:type="character" w:styleId="Strong">
    <w:name w:val="Strong"/>
    <w:uiPriority w:val="22"/>
    <w:qFormat/>
    <w:rsid w:val="00AE782D"/>
    <w:rPr>
      <w:b/>
      <w:bCs/>
    </w:rPr>
  </w:style>
  <w:style w:type="character" w:styleId="Emphasis">
    <w:name w:val="Emphasis"/>
    <w:uiPriority w:val="20"/>
    <w:qFormat/>
    <w:rsid w:val="00AE782D"/>
    <w:rPr>
      <w:b/>
      <w:bCs/>
      <w:i/>
      <w:iCs/>
      <w:spacing w:val="10"/>
      <w:bdr w:val="none" w:sz="0" w:space="0" w:color="auto"/>
      <w:shd w:val="clear" w:color="auto" w:fill="auto"/>
    </w:rPr>
  </w:style>
  <w:style w:type="paragraph" w:styleId="NoSpacing">
    <w:name w:val="No Spacing"/>
    <w:basedOn w:val="Normal"/>
    <w:uiPriority w:val="1"/>
    <w:qFormat/>
    <w:rsid w:val="00AE782D"/>
    <w:pPr>
      <w:spacing w:after="0" w:line="240" w:lineRule="auto"/>
    </w:pPr>
  </w:style>
  <w:style w:type="paragraph" w:styleId="Quote">
    <w:name w:val="Quote"/>
    <w:basedOn w:val="Normal"/>
    <w:next w:val="Normal"/>
    <w:link w:val="QuoteChar"/>
    <w:uiPriority w:val="29"/>
    <w:qFormat/>
    <w:rsid w:val="00AE782D"/>
    <w:pPr>
      <w:spacing w:before="200" w:after="0"/>
      <w:ind w:left="360" w:right="360"/>
    </w:pPr>
    <w:rPr>
      <w:i/>
      <w:iCs/>
    </w:rPr>
  </w:style>
  <w:style w:type="character" w:customStyle="1" w:styleId="QuoteChar">
    <w:name w:val="Quote Char"/>
    <w:basedOn w:val="DefaultParagraphFont"/>
    <w:link w:val="Quote"/>
    <w:uiPriority w:val="29"/>
    <w:rsid w:val="00AE782D"/>
    <w:rPr>
      <w:i/>
      <w:iCs/>
    </w:rPr>
  </w:style>
  <w:style w:type="paragraph" w:styleId="IntenseQuote">
    <w:name w:val="Intense Quote"/>
    <w:basedOn w:val="Normal"/>
    <w:next w:val="Normal"/>
    <w:link w:val="IntenseQuoteChar"/>
    <w:uiPriority w:val="30"/>
    <w:qFormat/>
    <w:rsid w:val="00AE78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782D"/>
    <w:rPr>
      <w:b/>
      <w:bCs/>
      <w:i/>
      <w:iCs/>
    </w:rPr>
  </w:style>
  <w:style w:type="character" w:styleId="SubtleEmphasis">
    <w:name w:val="Subtle Emphasis"/>
    <w:uiPriority w:val="19"/>
    <w:qFormat/>
    <w:rsid w:val="00AE782D"/>
    <w:rPr>
      <w:i/>
      <w:iCs/>
    </w:rPr>
  </w:style>
  <w:style w:type="character" w:styleId="IntenseEmphasis">
    <w:name w:val="Intense Emphasis"/>
    <w:uiPriority w:val="21"/>
    <w:qFormat/>
    <w:rsid w:val="00AE782D"/>
    <w:rPr>
      <w:b/>
      <w:bCs/>
    </w:rPr>
  </w:style>
  <w:style w:type="character" w:styleId="SubtleReference">
    <w:name w:val="Subtle Reference"/>
    <w:uiPriority w:val="31"/>
    <w:qFormat/>
    <w:rsid w:val="00AE782D"/>
    <w:rPr>
      <w:smallCaps/>
    </w:rPr>
  </w:style>
  <w:style w:type="character" w:styleId="IntenseReference">
    <w:name w:val="Intense Reference"/>
    <w:uiPriority w:val="32"/>
    <w:qFormat/>
    <w:rsid w:val="00AE782D"/>
    <w:rPr>
      <w:smallCaps/>
      <w:spacing w:val="5"/>
      <w:u w:val="single"/>
    </w:rPr>
  </w:style>
  <w:style w:type="character" w:styleId="BookTitle">
    <w:name w:val="Book Title"/>
    <w:uiPriority w:val="33"/>
    <w:qFormat/>
    <w:rsid w:val="00AE782D"/>
    <w:rPr>
      <w:i/>
      <w:iCs/>
      <w:smallCaps/>
      <w:spacing w:val="5"/>
    </w:rPr>
  </w:style>
  <w:style w:type="paragraph" w:styleId="TOCHeading">
    <w:name w:val="TOC Heading"/>
    <w:basedOn w:val="Heading1"/>
    <w:next w:val="Normal"/>
    <w:uiPriority w:val="39"/>
    <w:semiHidden/>
    <w:unhideWhenUsed/>
    <w:qFormat/>
    <w:rsid w:val="00AE782D"/>
    <w:pPr>
      <w:outlineLvl w:val="9"/>
    </w:pPr>
    <w:rPr>
      <w:lang w:bidi="en-US"/>
    </w:rPr>
  </w:style>
  <w:style w:type="table" w:customStyle="1" w:styleId="TableGrid1">
    <w:name w:val="Table Grid1"/>
    <w:basedOn w:val="TableNormal"/>
    <w:next w:val="TableGrid"/>
    <w:uiPriority w:val="59"/>
    <w:rsid w:val="00D916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rsid w:val="00AB6F47"/>
  </w:style>
  <w:style w:type="paragraph" w:customStyle="1" w:styleId="PGtext">
    <w:name w:val="PG text"/>
    <w:basedOn w:val="Normal"/>
    <w:link w:val="PGtextChar"/>
    <w:qFormat/>
    <w:rsid w:val="00CC0133"/>
    <w:pPr>
      <w:spacing w:after="0" w:line="240" w:lineRule="auto"/>
      <w:jc w:val="both"/>
    </w:pPr>
    <w:rPr>
      <w:rFonts w:ascii="Arial" w:hAnsi="Arial"/>
      <w:color w:val="548DD4" w:themeColor="text2" w:themeTint="99"/>
      <w:lang w:val="en-GB"/>
    </w:rPr>
  </w:style>
  <w:style w:type="character" w:customStyle="1" w:styleId="PGtextChar">
    <w:name w:val="PG text Char"/>
    <w:basedOn w:val="DefaultParagraphFont"/>
    <w:link w:val="PGtext"/>
    <w:rsid w:val="00CC0133"/>
    <w:rPr>
      <w:rFonts w:ascii="Arial" w:eastAsiaTheme="minorHAnsi" w:hAnsi="Arial"/>
      <w:color w:val="548DD4" w:themeColor="text2" w:themeTint="99"/>
      <w:lang w:val="en-GB"/>
    </w:rPr>
  </w:style>
  <w:style w:type="character" w:styleId="CommentReference">
    <w:name w:val="annotation reference"/>
    <w:basedOn w:val="DefaultParagraphFont"/>
    <w:uiPriority w:val="99"/>
    <w:semiHidden/>
    <w:unhideWhenUsed/>
    <w:rsid w:val="001D0E22"/>
    <w:rPr>
      <w:sz w:val="16"/>
      <w:szCs w:val="16"/>
    </w:rPr>
  </w:style>
  <w:style w:type="paragraph" w:styleId="CommentText">
    <w:name w:val="annotation text"/>
    <w:basedOn w:val="Normal"/>
    <w:link w:val="CommentTextChar"/>
    <w:uiPriority w:val="99"/>
    <w:semiHidden/>
    <w:unhideWhenUsed/>
    <w:rsid w:val="001D0E22"/>
    <w:pPr>
      <w:spacing w:line="240" w:lineRule="auto"/>
    </w:pPr>
    <w:rPr>
      <w:sz w:val="20"/>
      <w:szCs w:val="20"/>
    </w:rPr>
  </w:style>
  <w:style w:type="character" w:customStyle="1" w:styleId="CommentTextChar">
    <w:name w:val="Comment Text Char"/>
    <w:basedOn w:val="DefaultParagraphFont"/>
    <w:link w:val="CommentText"/>
    <w:uiPriority w:val="99"/>
    <w:semiHidden/>
    <w:rsid w:val="001D0E22"/>
    <w:rPr>
      <w:sz w:val="20"/>
      <w:szCs w:val="20"/>
    </w:rPr>
  </w:style>
  <w:style w:type="paragraph" w:styleId="CommentSubject">
    <w:name w:val="annotation subject"/>
    <w:basedOn w:val="CommentText"/>
    <w:next w:val="CommentText"/>
    <w:link w:val="CommentSubjectChar"/>
    <w:uiPriority w:val="99"/>
    <w:semiHidden/>
    <w:unhideWhenUsed/>
    <w:rsid w:val="001D0E22"/>
    <w:rPr>
      <w:b/>
      <w:bCs/>
    </w:rPr>
  </w:style>
  <w:style w:type="character" w:customStyle="1" w:styleId="CommentSubjectChar">
    <w:name w:val="Comment Subject Char"/>
    <w:basedOn w:val="CommentTextChar"/>
    <w:link w:val="CommentSubject"/>
    <w:uiPriority w:val="99"/>
    <w:semiHidden/>
    <w:rsid w:val="001D0E22"/>
    <w:rPr>
      <w:b/>
      <w:bCs/>
      <w:sz w:val="20"/>
      <w:szCs w:val="20"/>
    </w:rPr>
  </w:style>
  <w:style w:type="paragraph" w:styleId="BalloonText">
    <w:name w:val="Balloon Text"/>
    <w:basedOn w:val="Normal"/>
    <w:link w:val="BalloonTextChar"/>
    <w:uiPriority w:val="99"/>
    <w:semiHidden/>
    <w:unhideWhenUsed/>
    <w:rsid w:val="001D0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E22"/>
    <w:rPr>
      <w:rFonts w:ascii="Tahoma" w:hAnsi="Tahoma" w:cs="Tahoma"/>
      <w:sz w:val="16"/>
      <w:szCs w:val="16"/>
    </w:rPr>
  </w:style>
  <w:style w:type="paragraph" w:styleId="FootnoteText">
    <w:name w:val="footnote text"/>
    <w:basedOn w:val="Normal"/>
    <w:link w:val="FootnoteTextChar"/>
    <w:uiPriority w:val="99"/>
    <w:unhideWhenUsed/>
    <w:rsid w:val="00BF457B"/>
    <w:pPr>
      <w:spacing w:after="0" w:line="240" w:lineRule="auto"/>
    </w:pPr>
    <w:rPr>
      <w:sz w:val="20"/>
      <w:szCs w:val="20"/>
    </w:rPr>
  </w:style>
  <w:style w:type="character" w:customStyle="1" w:styleId="FootnoteTextChar">
    <w:name w:val="Footnote Text Char"/>
    <w:basedOn w:val="DefaultParagraphFont"/>
    <w:link w:val="FootnoteText"/>
    <w:uiPriority w:val="99"/>
    <w:rsid w:val="00BF457B"/>
    <w:rPr>
      <w:sz w:val="20"/>
      <w:szCs w:val="20"/>
    </w:rPr>
  </w:style>
  <w:style w:type="character" w:styleId="FootnoteReference">
    <w:name w:val="footnote reference"/>
    <w:basedOn w:val="DefaultParagraphFont"/>
    <w:uiPriority w:val="99"/>
    <w:unhideWhenUsed/>
    <w:rsid w:val="00BF457B"/>
    <w:rPr>
      <w:vertAlign w:val="superscript"/>
    </w:rPr>
  </w:style>
  <w:style w:type="paragraph" w:styleId="Revision">
    <w:name w:val="Revision"/>
    <w:hidden/>
    <w:uiPriority w:val="99"/>
    <w:semiHidden/>
    <w:rsid w:val="00BC01D2"/>
    <w:pPr>
      <w:spacing w:after="0" w:line="240" w:lineRule="auto"/>
    </w:pPr>
  </w:style>
  <w:style w:type="character" w:styleId="FollowedHyperlink">
    <w:name w:val="FollowedHyperlink"/>
    <w:basedOn w:val="DefaultParagraphFont"/>
    <w:uiPriority w:val="99"/>
    <w:semiHidden/>
    <w:unhideWhenUsed/>
    <w:rsid w:val="002423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810">
      <w:bodyDiv w:val="1"/>
      <w:marLeft w:val="0"/>
      <w:marRight w:val="0"/>
      <w:marTop w:val="0"/>
      <w:marBottom w:val="0"/>
      <w:divBdr>
        <w:top w:val="none" w:sz="0" w:space="0" w:color="auto"/>
        <w:left w:val="none" w:sz="0" w:space="0" w:color="auto"/>
        <w:bottom w:val="none" w:sz="0" w:space="0" w:color="auto"/>
        <w:right w:val="none" w:sz="0" w:space="0" w:color="auto"/>
      </w:divBdr>
      <w:divsChild>
        <w:div w:id="152987462">
          <w:marLeft w:val="0"/>
          <w:marRight w:val="0"/>
          <w:marTop w:val="0"/>
          <w:marBottom w:val="0"/>
          <w:divBdr>
            <w:top w:val="none" w:sz="0" w:space="0" w:color="auto"/>
            <w:left w:val="none" w:sz="0" w:space="0" w:color="auto"/>
            <w:bottom w:val="none" w:sz="0" w:space="0" w:color="auto"/>
            <w:right w:val="none" w:sz="0" w:space="0" w:color="auto"/>
          </w:divBdr>
        </w:div>
      </w:divsChild>
    </w:div>
    <w:div w:id="428045790">
      <w:bodyDiv w:val="1"/>
      <w:marLeft w:val="0"/>
      <w:marRight w:val="0"/>
      <w:marTop w:val="0"/>
      <w:marBottom w:val="0"/>
      <w:divBdr>
        <w:top w:val="none" w:sz="0" w:space="0" w:color="auto"/>
        <w:left w:val="none" w:sz="0" w:space="0" w:color="auto"/>
        <w:bottom w:val="none" w:sz="0" w:space="0" w:color="auto"/>
        <w:right w:val="none" w:sz="0" w:space="0" w:color="auto"/>
      </w:divBdr>
    </w:div>
    <w:div w:id="1063410172">
      <w:bodyDiv w:val="1"/>
      <w:marLeft w:val="0"/>
      <w:marRight w:val="0"/>
      <w:marTop w:val="0"/>
      <w:marBottom w:val="0"/>
      <w:divBdr>
        <w:top w:val="none" w:sz="0" w:space="0" w:color="auto"/>
        <w:left w:val="none" w:sz="0" w:space="0" w:color="auto"/>
        <w:bottom w:val="none" w:sz="0" w:space="0" w:color="auto"/>
        <w:right w:val="none" w:sz="0" w:space="0" w:color="auto"/>
      </w:divBdr>
      <w:divsChild>
        <w:div w:id="101537630">
          <w:marLeft w:val="0"/>
          <w:marRight w:val="0"/>
          <w:marTop w:val="0"/>
          <w:marBottom w:val="0"/>
          <w:divBdr>
            <w:top w:val="none" w:sz="0" w:space="0" w:color="auto"/>
            <w:left w:val="none" w:sz="0" w:space="0" w:color="auto"/>
            <w:bottom w:val="none" w:sz="0" w:space="0" w:color="auto"/>
            <w:right w:val="none" w:sz="0" w:space="0" w:color="auto"/>
          </w:divBdr>
        </w:div>
        <w:div w:id="222101795">
          <w:marLeft w:val="0"/>
          <w:marRight w:val="0"/>
          <w:marTop w:val="0"/>
          <w:marBottom w:val="0"/>
          <w:divBdr>
            <w:top w:val="none" w:sz="0" w:space="0" w:color="auto"/>
            <w:left w:val="none" w:sz="0" w:space="0" w:color="auto"/>
            <w:bottom w:val="none" w:sz="0" w:space="0" w:color="auto"/>
            <w:right w:val="none" w:sz="0" w:space="0" w:color="auto"/>
          </w:divBdr>
        </w:div>
        <w:div w:id="233321574">
          <w:marLeft w:val="0"/>
          <w:marRight w:val="0"/>
          <w:marTop w:val="0"/>
          <w:marBottom w:val="0"/>
          <w:divBdr>
            <w:top w:val="none" w:sz="0" w:space="0" w:color="auto"/>
            <w:left w:val="none" w:sz="0" w:space="0" w:color="auto"/>
            <w:bottom w:val="none" w:sz="0" w:space="0" w:color="auto"/>
            <w:right w:val="none" w:sz="0" w:space="0" w:color="auto"/>
          </w:divBdr>
        </w:div>
        <w:div w:id="302736356">
          <w:marLeft w:val="0"/>
          <w:marRight w:val="0"/>
          <w:marTop w:val="0"/>
          <w:marBottom w:val="0"/>
          <w:divBdr>
            <w:top w:val="none" w:sz="0" w:space="0" w:color="auto"/>
            <w:left w:val="none" w:sz="0" w:space="0" w:color="auto"/>
            <w:bottom w:val="none" w:sz="0" w:space="0" w:color="auto"/>
            <w:right w:val="none" w:sz="0" w:space="0" w:color="auto"/>
          </w:divBdr>
        </w:div>
        <w:div w:id="321398650">
          <w:marLeft w:val="0"/>
          <w:marRight w:val="0"/>
          <w:marTop w:val="0"/>
          <w:marBottom w:val="0"/>
          <w:divBdr>
            <w:top w:val="none" w:sz="0" w:space="0" w:color="auto"/>
            <w:left w:val="none" w:sz="0" w:space="0" w:color="auto"/>
            <w:bottom w:val="none" w:sz="0" w:space="0" w:color="auto"/>
            <w:right w:val="none" w:sz="0" w:space="0" w:color="auto"/>
          </w:divBdr>
        </w:div>
        <w:div w:id="365102616">
          <w:marLeft w:val="0"/>
          <w:marRight w:val="0"/>
          <w:marTop w:val="0"/>
          <w:marBottom w:val="0"/>
          <w:divBdr>
            <w:top w:val="none" w:sz="0" w:space="0" w:color="auto"/>
            <w:left w:val="none" w:sz="0" w:space="0" w:color="auto"/>
            <w:bottom w:val="none" w:sz="0" w:space="0" w:color="auto"/>
            <w:right w:val="none" w:sz="0" w:space="0" w:color="auto"/>
          </w:divBdr>
        </w:div>
        <w:div w:id="380641146">
          <w:marLeft w:val="0"/>
          <w:marRight w:val="0"/>
          <w:marTop w:val="0"/>
          <w:marBottom w:val="0"/>
          <w:divBdr>
            <w:top w:val="none" w:sz="0" w:space="0" w:color="auto"/>
            <w:left w:val="none" w:sz="0" w:space="0" w:color="auto"/>
            <w:bottom w:val="none" w:sz="0" w:space="0" w:color="auto"/>
            <w:right w:val="none" w:sz="0" w:space="0" w:color="auto"/>
          </w:divBdr>
        </w:div>
        <w:div w:id="385759355">
          <w:marLeft w:val="0"/>
          <w:marRight w:val="0"/>
          <w:marTop w:val="0"/>
          <w:marBottom w:val="0"/>
          <w:divBdr>
            <w:top w:val="none" w:sz="0" w:space="0" w:color="auto"/>
            <w:left w:val="none" w:sz="0" w:space="0" w:color="auto"/>
            <w:bottom w:val="none" w:sz="0" w:space="0" w:color="auto"/>
            <w:right w:val="none" w:sz="0" w:space="0" w:color="auto"/>
          </w:divBdr>
        </w:div>
        <w:div w:id="429275879">
          <w:marLeft w:val="0"/>
          <w:marRight w:val="0"/>
          <w:marTop w:val="0"/>
          <w:marBottom w:val="0"/>
          <w:divBdr>
            <w:top w:val="none" w:sz="0" w:space="0" w:color="auto"/>
            <w:left w:val="none" w:sz="0" w:space="0" w:color="auto"/>
            <w:bottom w:val="none" w:sz="0" w:space="0" w:color="auto"/>
            <w:right w:val="none" w:sz="0" w:space="0" w:color="auto"/>
          </w:divBdr>
        </w:div>
        <w:div w:id="552693860">
          <w:marLeft w:val="0"/>
          <w:marRight w:val="0"/>
          <w:marTop w:val="0"/>
          <w:marBottom w:val="0"/>
          <w:divBdr>
            <w:top w:val="none" w:sz="0" w:space="0" w:color="auto"/>
            <w:left w:val="none" w:sz="0" w:space="0" w:color="auto"/>
            <w:bottom w:val="none" w:sz="0" w:space="0" w:color="auto"/>
            <w:right w:val="none" w:sz="0" w:space="0" w:color="auto"/>
          </w:divBdr>
        </w:div>
        <w:div w:id="605624880">
          <w:marLeft w:val="0"/>
          <w:marRight w:val="0"/>
          <w:marTop w:val="0"/>
          <w:marBottom w:val="0"/>
          <w:divBdr>
            <w:top w:val="none" w:sz="0" w:space="0" w:color="auto"/>
            <w:left w:val="none" w:sz="0" w:space="0" w:color="auto"/>
            <w:bottom w:val="none" w:sz="0" w:space="0" w:color="auto"/>
            <w:right w:val="none" w:sz="0" w:space="0" w:color="auto"/>
          </w:divBdr>
        </w:div>
        <w:div w:id="668411251">
          <w:marLeft w:val="0"/>
          <w:marRight w:val="0"/>
          <w:marTop w:val="0"/>
          <w:marBottom w:val="0"/>
          <w:divBdr>
            <w:top w:val="none" w:sz="0" w:space="0" w:color="auto"/>
            <w:left w:val="none" w:sz="0" w:space="0" w:color="auto"/>
            <w:bottom w:val="none" w:sz="0" w:space="0" w:color="auto"/>
            <w:right w:val="none" w:sz="0" w:space="0" w:color="auto"/>
          </w:divBdr>
        </w:div>
        <w:div w:id="726536190">
          <w:marLeft w:val="0"/>
          <w:marRight w:val="0"/>
          <w:marTop w:val="0"/>
          <w:marBottom w:val="0"/>
          <w:divBdr>
            <w:top w:val="none" w:sz="0" w:space="0" w:color="auto"/>
            <w:left w:val="none" w:sz="0" w:space="0" w:color="auto"/>
            <w:bottom w:val="none" w:sz="0" w:space="0" w:color="auto"/>
            <w:right w:val="none" w:sz="0" w:space="0" w:color="auto"/>
          </w:divBdr>
        </w:div>
        <w:div w:id="797071592">
          <w:marLeft w:val="0"/>
          <w:marRight w:val="0"/>
          <w:marTop w:val="0"/>
          <w:marBottom w:val="0"/>
          <w:divBdr>
            <w:top w:val="none" w:sz="0" w:space="0" w:color="auto"/>
            <w:left w:val="none" w:sz="0" w:space="0" w:color="auto"/>
            <w:bottom w:val="none" w:sz="0" w:space="0" w:color="auto"/>
            <w:right w:val="none" w:sz="0" w:space="0" w:color="auto"/>
          </w:divBdr>
        </w:div>
        <w:div w:id="825782664">
          <w:marLeft w:val="0"/>
          <w:marRight w:val="0"/>
          <w:marTop w:val="0"/>
          <w:marBottom w:val="0"/>
          <w:divBdr>
            <w:top w:val="none" w:sz="0" w:space="0" w:color="auto"/>
            <w:left w:val="none" w:sz="0" w:space="0" w:color="auto"/>
            <w:bottom w:val="none" w:sz="0" w:space="0" w:color="auto"/>
            <w:right w:val="none" w:sz="0" w:space="0" w:color="auto"/>
          </w:divBdr>
        </w:div>
        <w:div w:id="886914970">
          <w:marLeft w:val="0"/>
          <w:marRight w:val="0"/>
          <w:marTop w:val="0"/>
          <w:marBottom w:val="0"/>
          <w:divBdr>
            <w:top w:val="none" w:sz="0" w:space="0" w:color="auto"/>
            <w:left w:val="none" w:sz="0" w:space="0" w:color="auto"/>
            <w:bottom w:val="none" w:sz="0" w:space="0" w:color="auto"/>
            <w:right w:val="none" w:sz="0" w:space="0" w:color="auto"/>
          </w:divBdr>
        </w:div>
        <w:div w:id="920410489">
          <w:marLeft w:val="0"/>
          <w:marRight w:val="0"/>
          <w:marTop w:val="0"/>
          <w:marBottom w:val="0"/>
          <w:divBdr>
            <w:top w:val="none" w:sz="0" w:space="0" w:color="auto"/>
            <w:left w:val="none" w:sz="0" w:space="0" w:color="auto"/>
            <w:bottom w:val="none" w:sz="0" w:space="0" w:color="auto"/>
            <w:right w:val="none" w:sz="0" w:space="0" w:color="auto"/>
          </w:divBdr>
        </w:div>
        <w:div w:id="959606178">
          <w:marLeft w:val="0"/>
          <w:marRight w:val="0"/>
          <w:marTop w:val="0"/>
          <w:marBottom w:val="0"/>
          <w:divBdr>
            <w:top w:val="none" w:sz="0" w:space="0" w:color="auto"/>
            <w:left w:val="none" w:sz="0" w:space="0" w:color="auto"/>
            <w:bottom w:val="none" w:sz="0" w:space="0" w:color="auto"/>
            <w:right w:val="none" w:sz="0" w:space="0" w:color="auto"/>
          </w:divBdr>
        </w:div>
        <w:div w:id="1114858787">
          <w:marLeft w:val="0"/>
          <w:marRight w:val="0"/>
          <w:marTop w:val="0"/>
          <w:marBottom w:val="0"/>
          <w:divBdr>
            <w:top w:val="none" w:sz="0" w:space="0" w:color="auto"/>
            <w:left w:val="none" w:sz="0" w:space="0" w:color="auto"/>
            <w:bottom w:val="none" w:sz="0" w:space="0" w:color="auto"/>
            <w:right w:val="none" w:sz="0" w:space="0" w:color="auto"/>
          </w:divBdr>
        </w:div>
        <w:div w:id="1115368419">
          <w:marLeft w:val="0"/>
          <w:marRight w:val="0"/>
          <w:marTop w:val="0"/>
          <w:marBottom w:val="0"/>
          <w:divBdr>
            <w:top w:val="none" w:sz="0" w:space="0" w:color="auto"/>
            <w:left w:val="none" w:sz="0" w:space="0" w:color="auto"/>
            <w:bottom w:val="none" w:sz="0" w:space="0" w:color="auto"/>
            <w:right w:val="none" w:sz="0" w:space="0" w:color="auto"/>
          </w:divBdr>
        </w:div>
        <w:div w:id="1161387836">
          <w:marLeft w:val="0"/>
          <w:marRight w:val="0"/>
          <w:marTop w:val="0"/>
          <w:marBottom w:val="0"/>
          <w:divBdr>
            <w:top w:val="none" w:sz="0" w:space="0" w:color="auto"/>
            <w:left w:val="none" w:sz="0" w:space="0" w:color="auto"/>
            <w:bottom w:val="none" w:sz="0" w:space="0" w:color="auto"/>
            <w:right w:val="none" w:sz="0" w:space="0" w:color="auto"/>
          </w:divBdr>
        </w:div>
        <w:div w:id="1216746437">
          <w:marLeft w:val="0"/>
          <w:marRight w:val="0"/>
          <w:marTop w:val="0"/>
          <w:marBottom w:val="0"/>
          <w:divBdr>
            <w:top w:val="none" w:sz="0" w:space="0" w:color="auto"/>
            <w:left w:val="none" w:sz="0" w:space="0" w:color="auto"/>
            <w:bottom w:val="none" w:sz="0" w:space="0" w:color="auto"/>
            <w:right w:val="none" w:sz="0" w:space="0" w:color="auto"/>
          </w:divBdr>
        </w:div>
        <w:div w:id="1295793219">
          <w:marLeft w:val="0"/>
          <w:marRight w:val="0"/>
          <w:marTop w:val="0"/>
          <w:marBottom w:val="0"/>
          <w:divBdr>
            <w:top w:val="none" w:sz="0" w:space="0" w:color="auto"/>
            <w:left w:val="none" w:sz="0" w:space="0" w:color="auto"/>
            <w:bottom w:val="none" w:sz="0" w:space="0" w:color="auto"/>
            <w:right w:val="none" w:sz="0" w:space="0" w:color="auto"/>
          </w:divBdr>
        </w:div>
        <w:div w:id="1329283242">
          <w:marLeft w:val="0"/>
          <w:marRight w:val="0"/>
          <w:marTop w:val="0"/>
          <w:marBottom w:val="0"/>
          <w:divBdr>
            <w:top w:val="none" w:sz="0" w:space="0" w:color="auto"/>
            <w:left w:val="none" w:sz="0" w:space="0" w:color="auto"/>
            <w:bottom w:val="none" w:sz="0" w:space="0" w:color="auto"/>
            <w:right w:val="none" w:sz="0" w:space="0" w:color="auto"/>
          </w:divBdr>
        </w:div>
        <w:div w:id="1331179188">
          <w:marLeft w:val="0"/>
          <w:marRight w:val="0"/>
          <w:marTop w:val="0"/>
          <w:marBottom w:val="0"/>
          <w:divBdr>
            <w:top w:val="none" w:sz="0" w:space="0" w:color="auto"/>
            <w:left w:val="none" w:sz="0" w:space="0" w:color="auto"/>
            <w:bottom w:val="none" w:sz="0" w:space="0" w:color="auto"/>
            <w:right w:val="none" w:sz="0" w:space="0" w:color="auto"/>
          </w:divBdr>
        </w:div>
        <w:div w:id="1336373889">
          <w:marLeft w:val="0"/>
          <w:marRight w:val="0"/>
          <w:marTop w:val="0"/>
          <w:marBottom w:val="0"/>
          <w:divBdr>
            <w:top w:val="none" w:sz="0" w:space="0" w:color="auto"/>
            <w:left w:val="none" w:sz="0" w:space="0" w:color="auto"/>
            <w:bottom w:val="none" w:sz="0" w:space="0" w:color="auto"/>
            <w:right w:val="none" w:sz="0" w:space="0" w:color="auto"/>
          </w:divBdr>
        </w:div>
        <w:div w:id="1369531474">
          <w:marLeft w:val="0"/>
          <w:marRight w:val="0"/>
          <w:marTop w:val="0"/>
          <w:marBottom w:val="0"/>
          <w:divBdr>
            <w:top w:val="none" w:sz="0" w:space="0" w:color="auto"/>
            <w:left w:val="none" w:sz="0" w:space="0" w:color="auto"/>
            <w:bottom w:val="none" w:sz="0" w:space="0" w:color="auto"/>
            <w:right w:val="none" w:sz="0" w:space="0" w:color="auto"/>
          </w:divBdr>
        </w:div>
        <w:div w:id="1413965949">
          <w:marLeft w:val="0"/>
          <w:marRight w:val="0"/>
          <w:marTop w:val="0"/>
          <w:marBottom w:val="0"/>
          <w:divBdr>
            <w:top w:val="none" w:sz="0" w:space="0" w:color="auto"/>
            <w:left w:val="none" w:sz="0" w:space="0" w:color="auto"/>
            <w:bottom w:val="none" w:sz="0" w:space="0" w:color="auto"/>
            <w:right w:val="none" w:sz="0" w:space="0" w:color="auto"/>
          </w:divBdr>
        </w:div>
        <w:div w:id="1499732988">
          <w:marLeft w:val="0"/>
          <w:marRight w:val="0"/>
          <w:marTop w:val="0"/>
          <w:marBottom w:val="0"/>
          <w:divBdr>
            <w:top w:val="none" w:sz="0" w:space="0" w:color="auto"/>
            <w:left w:val="none" w:sz="0" w:space="0" w:color="auto"/>
            <w:bottom w:val="none" w:sz="0" w:space="0" w:color="auto"/>
            <w:right w:val="none" w:sz="0" w:space="0" w:color="auto"/>
          </w:divBdr>
        </w:div>
        <w:div w:id="1506749307">
          <w:marLeft w:val="0"/>
          <w:marRight w:val="0"/>
          <w:marTop w:val="0"/>
          <w:marBottom w:val="0"/>
          <w:divBdr>
            <w:top w:val="none" w:sz="0" w:space="0" w:color="auto"/>
            <w:left w:val="none" w:sz="0" w:space="0" w:color="auto"/>
            <w:bottom w:val="none" w:sz="0" w:space="0" w:color="auto"/>
            <w:right w:val="none" w:sz="0" w:space="0" w:color="auto"/>
          </w:divBdr>
        </w:div>
        <w:div w:id="1533879975">
          <w:marLeft w:val="0"/>
          <w:marRight w:val="0"/>
          <w:marTop w:val="0"/>
          <w:marBottom w:val="0"/>
          <w:divBdr>
            <w:top w:val="none" w:sz="0" w:space="0" w:color="auto"/>
            <w:left w:val="none" w:sz="0" w:space="0" w:color="auto"/>
            <w:bottom w:val="none" w:sz="0" w:space="0" w:color="auto"/>
            <w:right w:val="none" w:sz="0" w:space="0" w:color="auto"/>
          </w:divBdr>
        </w:div>
        <w:div w:id="1618676411">
          <w:marLeft w:val="0"/>
          <w:marRight w:val="0"/>
          <w:marTop w:val="0"/>
          <w:marBottom w:val="0"/>
          <w:divBdr>
            <w:top w:val="none" w:sz="0" w:space="0" w:color="auto"/>
            <w:left w:val="none" w:sz="0" w:space="0" w:color="auto"/>
            <w:bottom w:val="none" w:sz="0" w:space="0" w:color="auto"/>
            <w:right w:val="none" w:sz="0" w:space="0" w:color="auto"/>
          </w:divBdr>
        </w:div>
        <w:div w:id="1739130035">
          <w:marLeft w:val="0"/>
          <w:marRight w:val="0"/>
          <w:marTop w:val="0"/>
          <w:marBottom w:val="0"/>
          <w:divBdr>
            <w:top w:val="none" w:sz="0" w:space="0" w:color="auto"/>
            <w:left w:val="none" w:sz="0" w:space="0" w:color="auto"/>
            <w:bottom w:val="none" w:sz="0" w:space="0" w:color="auto"/>
            <w:right w:val="none" w:sz="0" w:space="0" w:color="auto"/>
          </w:divBdr>
        </w:div>
        <w:div w:id="1965231631">
          <w:marLeft w:val="0"/>
          <w:marRight w:val="0"/>
          <w:marTop w:val="0"/>
          <w:marBottom w:val="0"/>
          <w:divBdr>
            <w:top w:val="none" w:sz="0" w:space="0" w:color="auto"/>
            <w:left w:val="none" w:sz="0" w:space="0" w:color="auto"/>
            <w:bottom w:val="none" w:sz="0" w:space="0" w:color="auto"/>
            <w:right w:val="none" w:sz="0" w:space="0" w:color="auto"/>
          </w:divBdr>
        </w:div>
        <w:div w:id="2066954111">
          <w:marLeft w:val="0"/>
          <w:marRight w:val="0"/>
          <w:marTop w:val="0"/>
          <w:marBottom w:val="0"/>
          <w:divBdr>
            <w:top w:val="none" w:sz="0" w:space="0" w:color="auto"/>
            <w:left w:val="none" w:sz="0" w:space="0" w:color="auto"/>
            <w:bottom w:val="none" w:sz="0" w:space="0" w:color="auto"/>
            <w:right w:val="none" w:sz="0" w:space="0" w:color="auto"/>
          </w:divBdr>
        </w:div>
        <w:div w:id="2093309962">
          <w:marLeft w:val="0"/>
          <w:marRight w:val="0"/>
          <w:marTop w:val="0"/>
          <w:marBottom w:val="0"/>
          <w:divBdr>
            <w:top w:val="none" w:sz="0" w:space="0" w:color="auto"/>
            <w:left w:val="none" w:sz="0" w:space="0" w:color="auto"/>
            <w:bottom w:val="none" w:sz="0" w:space="0" w:color="auto"/>
            <w:right w:val="none" w:sz="0" w:space="0" w:color="auto"/>
          </w:divBdr>
        </w:div>
        <w:div w:id="2121993159">
          <w:marLeft w:val="0"/>
          <w:marRight w:val="0"/>
          <w:marTop w:val="0"/>
          <w:marBottom w:val="0"/>
          <w:divBdr>
            <w:top w:val="none" w:sz="0" w:space="0" w:color="auto"/>
            <w:left w:val="none" w:sz="0" w:space="0" w:color="auto"/>
            <w:bottom w:val="none" w:sz="0" w:space="0" w:color="auto"/>
            <w:right w:val="none" w:sz="0" w:space="0" w:color="auto"/>
          </w:divBdr>
        </w:div>
      </w:divsChild>
    </w:div>
    <w:div w:id="1364863568">
      <w:bodyDiv w:val="1"/>
      <w:marLeft w:val="0"/>
      <w:marRight w:val="0"/>
      <w:marTop w:val="0"/>
      <w:marBottom w:val="0"/>
      <w:divBdr>
        <w:top w:val="none" w:sz="0" w:space="0" w:color="auto"/>
        <w:left w:val="none" w:sz="0" w:space="0" w:color="auto"/>
        <w:bottom w:val="none" w:sz="0" w:space="0" w:color="auto"/>
        <w:right w:val="none" w:sz="0" w:space="0" w:color="auto"/>
      </w:divBdr>
      <w:divsChild>
        <w:div w:id="1849634918">
          <w:marLeft w:val="0"/>
          <w:marRight w:val="0"/>
          <w:marTop w:val="0"/>
          <w:marBottom w:val="0"/>
          <w:divBdr>
            <w:top w:val="none" w:sz="0" w:space="0" w:color="auto"/>
            <w:left w:val="none" w:sz="0" w:space="0" w:color="auto"/>
            <w:bottom w:val="none" w:sz="0" w:space="0" w:color="auto"/>
            <w:right w:val="none" w:sz="0" w:space="0" w:color="auto"/>
          </w:divBdr>
        </w:div>
        <w:div w:id="1486358339">
          <w:marLeft w:val="0"/>
          <w:marRight w:val="0"/>
          <w:marTop w:val="0"/>
          <w:marBottom w:val="0"/>
          <w:divBdr>
            <w:top w:val="none" w:sz="0" w:space="0" w:color="auto"/>
            <w:left w:val="none" w:sz="0" w:space="0" w:color="auto"/>
            <w:bottom w:val="none" w:sz="0" w:space="0" w:color="auto"/>
            <w:right w:val="none" w:sz="0" w:space="0" w:color="auto"/>
          </w:divBdr>
        </w:div>
        <w:div w:id="599457794">
          <w:marLeft w:val="0"/>
          <w:marRight w:val="0"/>
          <w:marTop w:val="0"/>
          <w:marBottom w:val="0"/>
          <w:divBdr>
            <w:top w:val="none" w:sz="0" w:space="0" w:color="auto"/>
            <w:left w:val="none" w:sz="0" w:space="0" w:color="auto"/>
            <w:bottom w:val="none" w:sz="0" w:space="0" w:color="auto"/>
            <w:right w:val="none" w:sz="0" w:space="0" w:color="auto"/>
          </w:divBdr>
        </w:div>
        <w:div w:id="1588536520">
          <w:marLeft w:val="0"/>
          <w:marRight w:val="0"/>
          <w:marTop w:val="0"/>
          <w:marBottom w:val="0"/>
          <w:divBdr>
            <w:top w:val="none" w:sz="0" w:space="0" w:color="auto"/>
            <w:left w:val="none" w:sz="0" w:space="0" w:color="auto"/>
            <w:bottom w:val="none" w:sz="0" w:space="0" w:color="auto"/>
            <w:right w:val="none" w:sz="0" w:space="0" w:color="auto"/>
          </w:divBdr>
        </w:div>
        <w:div w:id="398020275">
          <w:marLeft w:val="0"/>
          <w:marRight w:val="0"/>
          <w:marTop w:val="0"/>
          <w:marBottom w:val="0"/>
          <w:divBdr>
            <w:top w:val="none" w:sz="0" w:space="0" w:color="auto"/>
            <w:left w:val="none" w:sz="0" w:space="0" w:color="auto"/>
            <w:bottom w:val="none" w:sz="0" w:space="0" w:color="auto"/>
            <w:right w:val="none" w:sz="0" w:space="0" w:color="auto"/>
          </w:divBdr>
        </w:div>
      </w:divsChild>
    </w:div>
    <w:div w:id="1644625943">
      <w:bodyDiv w:val="1"/>
      <w:marLeft w:val="0"/>
      <w:marRight w:val="0"/>
      <w:marTop w:val="0"/>
      <w:marBottom w:val="0"/>
      <w:divBdr>
        <w:top w:val="none" w:sz="0" w:space="0" w:color="auto"/>
        <w:left w:val="none" w:sz="0" w:space="0" w:color="auto"/>
        <w:bottom w:val="none" w:sz="0" w:space="0" w:color="auto"/>
        <w:right w:val="none" w:sz="0" w:space="0" w:color="auto"/>
      </w:divBdr>
      <w:divsChild>
        <w:div w:id="1457915604">
          <w:marLeft w:val="0"/>
          <w:marRight w:val="0"/>
          <w:marTop w:val="0"/>
          <w:marBottom w:val="0"/>
          <w:divBdr>
            <w:top w:val="none" w:sz="0" w:space="0" w:color="auto"/>
            <w:left w:val="none" w:sz="0" w:space="0" w:color="auto"/>
            <w:bottom w:val="none" w:sz="0" w:space="0" w:color="auto"/>
            <w:right w:val="none" w:sz="0" w:space="0" w:color="auto"/>
          </w:divBdr>
        </w:div>
        <w:div w:id="1526020840">
          <w:marLeft w:val="0"/>
          <w:marRight w:val="0"/>
          <w:marTop w:val="0"/>
          <w:marBottom w:val="0"/>
          <w:divBdr>
            <w:top w:val="none" w:sz="0" w:space="0" w:color="auto"/>
            <w:left w:val="none" w:sz="0" w:space="0" w:color="auto"/>
            <w:bottom w:val="none" w:sz="0" w:space="0" w:color="auto"/>
            <w:right w:val="none" w:sz="0" w:space="0" w:color="auto"/>
          </w:divBdr>
        </w:div>
        <w:div w:id="1863201738">
          <w:marLeft w:val="0"/>
          <w:marRight w:val="0"/>
          <w:marTop w:val="0"/>
          <w:marBottom w:val="0"/>
          <w:divBdr>
            <w:top w:val="none" w:sz="0" w:space="0" w:color="auto"/>
            <w:left w:val="none" w:sz="0" w:space="0" w:color="auto"/>
            <w:bottom w:val="none" w:sz="0" w:space="0" w:color="auto"/>
            <w:right w:val="none" w:sz="0" w:space="0" w:color="auto"/>
          </w:divBdr>
        </w:div>
        <w:div w:id="206032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negieuktrust.org.uk" TargetMode="External"/><Relationship Id="rId18" Type="http://schemas.openxmlformats.org/officeDocument/2006/relationships/hyperlink" Target="http://www.ec.europa.eu"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srn.com/abstract=1026662"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enrd.ec.europa.eu/sites/enrd/files/rdp1_full-conference_report.pdf" TargetMode="External"/><Relationship Id="rId2" Type="http://schemas.openxmlformats.org/officeDocument/2006/relationships/numbering" Target="numbering.xml"/><Relationship Id="rId16" Type="http://schemas.openxmlformats.org/officeDocument/2006/relationships/hyperlink" Target="http://enrd.ec.europa.eu/enrd-static/fms/pdf/D44FCDEB-C1DC-3F8B-8EDE-B5C89302360C.pdf" TargetMode="External"/><Relationship Id="rId20" Type="http://schemas.openxmlformats.org/officeDocument/2006/relationships/hyperlink" Target="http://www.rudi-europ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apreform.eu/why-there-is-no-green-revolution-in-nms-despite-rich-rd-funding-for-increasing-agro-food-sector-competitiveness/" TargetMode="External"/><Relationship Id="rId23" Type="http://schemas.openxmlformats.org/officeDocument/2006/relationships/fontTable" Target="fontTable.xml"/><Relationship Id="rId10" Type="http://schemas.openxmlformats.org/officeDocument/2006/relationships/hyperlink" Target="http://ons.gov.uk/ons" TargetMode="External"/><Relationship Id="rId19" Type="http://schemas.openxmlformats.org/officeDocument/2006/relationships/hyperlink" Target="http://www.neweconomics.org/publications/entry/a-guide-to-social-return-on-investmen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uroparl.europa.eu/studies" TargetMode="External"/><Relationship Id="rId22" Type="http://schemas.openxmlformats.org/officeDocument/2006/relationships/hyperlink" Target="http://ec.europa.eu/agriculture/evaluation/rural-development-reports/synthesis-mte-2007-2013_en.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jpowell@glos.ac.uk" TargetMode="External"/><Relationship Id="rId1" Type="http://schemas.openxmlformats.org/officeDocument/2006/relationships/hyperlink" Target="mailto:Jdwyer@glo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A983C-E5B2-4FDC-B1CB-28F15A0B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8633</Words>
  <Characters>49214</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57732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Janet (Prof)</dc:creator>
  <cp:lastModifiedBy>HAWKETTS, Eleanor</cp:lastModifiedBy>
  <cp:revision>2</cp:revision>
  <cp:lastPrinted>2015-02-06T10:50:00Z</cp:lastPrinted>
  <dcterms:created xsi:type="dcterms:W3CDTF">2016-03-31T08:17:00Z</dcterms:created>
  <dcterms:modified xsi:type="dcterms:W3CDTF">2016-03-31T08:17:00Z</dcterms:modified>
</cp:coreProperties>
</file>